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伊犁州特克斯县职业技术学校整体支出绩效自评报告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left="718" w:leftChars="342" w:firstLine="125" w:firstLineChars="35"/>
        <w:jc w:val="left"/>
        <w:rPr>
          <w:rFonts w:hAnsi="宋体" w:eastAsia="仿宋_GB2312" w:cs="宋体"/>
          <w:kern w:val="0"/>
          <w:sz w:val="36"/>
          <w:szCs w:val="36"/>
        </w:rPr>
      </w:pPr>
      <w:r>
        <w:rPr>
          <w:rFonts w:hint="eastAsia" w:hAnsi="宋体" w:eastAsia="仿宋_GB2312" w:cs="宋体"/>
          <w:kern w:val="0"/>
          <w:sz w:val="36"/>
          <w:szCs w:val="36"/>
        </w:rPr>
        <w:t>部门单位名称（公章）：特克斯县职业技术学校填报时间：</w:t>
      </w:r>
      <w:r>
        <w:rPr>
          <w:rFonts w:hAnsi="宋体" w:eastAsia="仿宋_GB2312" w:cs="宋体"/>
          <w:kern w:val="0"/>
          <w:sz w:val="36"/>
          <w:szCs w:val="36"/>
        </w:rPr>
        <w:t>2022</w:t>
      </w:r>
      <w:r>
        <w:rPr>
          <w:rFonts w:hint="eastAsia" w:hAnsi="宋体" w:eastAsia="仿宋_GB2312" w:cs="宋体"/>
          <w:kern w:val="0"/>
          <w:sz w:val="36"/>
          <w:szCs w:val="36"/>
        </w:rPr>
        <w:t xml:space="preserve"> 年4月28日</w:t>
      </w:r>
    </w:p>
    <w:p>
      <w:pPr>
        <w:pStyle w:val="3"/>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4"/>
        <w:spacing w:line="360" w:lineRule="auto"/>
        <w:rPr>
          <w:rStyle w:val="16"/>
          <w:rFonts w:ascii="仿宋" w:hAnsi="仿宋" w:eastAsia="仿宋"/>
          <w:b/>
          <w:bCs/>
        </w:rPr>
      </w:pPr>
      <w:bookmarkStart w:id="2" w:name="_Toc70450290"/>
      <w:r>
        <w:rPr>
          <w:rStyle w:val="16"/>
          <w:rFonts w:hint="eastAsia" w:ascii="仿宋" w:hAnsi="仿宋" w:eastAsia="仿宋"/>
          <w:b/>
          <w:bCs/>
        </w:rPr>
        <w:t>（一）部门单位基本情况</w:t>
      </w:r>
      <w:bookmarkEnd w:id="2"/>
    </w:p>
    <w:p>
      <w:pPr>
        <w:pStyle w:val="5"/>
        <w:spacing w:line="360" w:lineRule="auto"/>
        <w:ind w:firstLine="562" w:firstLineChars="200"/>
        <w:rPr>
          <w:rStyle w:val="16"/>
          <w:rFonts w:ascii="仿宋" w:hAnsi="仿宋" w:eastAsia="仿宋"/>
          <w:b/>
          <w:bCs/>
        </w:rPr>
      </w:pPr>
      <w:bookmarkStart w:id="3" w:name="_Toc70450291"/>
      <w:r>
        <w:rPr>
          <w:rStyle w:val="16"/>
          <w:rFonts w:ascii="仿宋" w:hAnsi="仿宋" w:eastAsia="仿宋"/>
          <w:b/>
          <w:bCs/>
        </w:rPr>
        <w:t>1</w:t>
      </w:r>
      <w:r>
        <w:rPr>
          <w:rStyle w:val="16"/>
          <w:rFonts w:hint="eastAsia" w:ascii="仿宋" w:hAnsi="仿宋" w:eastAsia="仿宋"/>
          <w:b/>
          <w:bCs/>
        </w:rPr>
        <w:t>、主要职能</w:t>
      </w:r>
      <w:bookmarkEnd w:id="3"/>
    </w:p>
    <w:p>
      <w:pPr>
        <w:spacing w:line="360" w:lineRule="auto"/>
        <w:ind w:firstLine="544" w:firstLineChars="200"/>
        <w:rPr>
          <w:rStyle w:val="16"/>
          <w:rFonts w:ascii="仿宋_GB2312" w:hAnsi="楷体" w:eastAsia="仿宋_GB2312" w:cs="Times New Roman"/>
          <w:b w:val="0"/>
          <w:spacing w:val="-4"/>
          <w:sz w:val="28"/>
          <w:szCs w:val="28"/>
        </w:rPr>
      </w:pPr>
      <w:bookmarkStart w:id="4" w:name="_Toc70450292"/>
      <w:r>
        <w:rPr>
          <w:rStyle w:val="16"/>
          <w:rFonts w:hint="eastAsia" w:ascii="仿宋_GB2312" w:hAnsi="楷体" w:eastAsia="仿宋_GB2312" w:cs="Times New Roman"/>
          <w:b w:val="0"/>
          <w:spacing w:val="-4"/>
          <w:sz w:val="28"/>
          <w:szCs w:val="28"/>
        </w:rPr>
        <w:t>1．主要职能。</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(1).负责专业设置和教育教学管理。</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（2）管理各类培训项目。</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（3）负责招生。</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（4）根据社会经济发展需求，开张技能培训、农村实用技术培训、农村劳动力转移培训、农牧民培训、下岗再就业培训、农牧业新机具培训、大型工程机械的资质培训等各类教育培训活动。</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（5）负责本社社会青年和各单位的在职人员学历提升</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（6））统筹管理实习实训工作。</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（7指导就业与服务工作。</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（8）宣传贯彻党的路线，方针，政策，坚持正确的办学方向。</w:t>
      </w:r>
    </w:p>
    <w:p>
      <w:pPr>
        <w:pStyle w:val="5"/>
        <w:spacing w:line="360" w:lineRule="auto"/>
        <w:ind w:firstLine="562" w:firstLineChars="200"/>
        <w:rPr>
          <w:rStyle w:val="16"/>
          <w:rFonts w:ascii="仿宋" w:hAnsi="仿宋" w:eastAsia="仿宋"/>
          <w:b/>
          <w:bCs/>
          <w:color w:val="000000" w:themeColor="text1"/>
          <w14:textFill>
            <w14:solidFill>
              <w14:schemeClr w14:val="tx1"/>
            </w14:solidFill>
          </w14:textFill>
        </w:rPr>
      </w:pPr>
      <w:r>
        <w:rPr>
          <w:rStyle w:val="16"/>
          <w:rFonts w:hint="eastAsia" w:ascii="仿宋" w:hAnsi="仿宋" w:eastAsia="仿宋"/>
          <w:b/>
          <w:bCs/>
          <w:color w:val="000000" w:themeColor="text1"/>
          <w14:textFill>
            <w14:solidFill>
              <w14:schemeClr w14:val="tx1"/>
            </w14:solidFill>
          </w14:textFill>
        </w:rPr>
        <w:t>2、机构人员构成</w:t>
      </w:r>
      <w:bookmarkEnd w:id="4"/>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（1）组织机构设置：</w:t>
      </w:r>
    </w:p>
    <w:p>
      <w:pPr>
        <w:spacing w:line="360" w:lineRule="auto"/>
        <w:ind w:firstLine="544" w:firstLineChars="200"/>
        <w:rPr>
          <w:rStyle w:val="16"/>
          <w:rFonts w:ascii="仿宋_GB2312" w:hAnsi="楷体" w:eastAsia="仿宋_GB2312" w:cs="Times New Roman"/>
          <w:b w:val="0"/>
          <w:spacing w:val="-4"/>
          <w:sz w:val="28"/>
          <w:szCs w:val="28"/>
        </w:rPr>
      </w:pPr>
      <w:bookmarkStart w:id="5" w:name="_Toc70450293"/>
      <w:r>
        <w:rPr>
          <w:rStyle w:val="16"/>
          <w:rFonts w:hint="eastAsia" w:ascii="仿宋_GB2312" w:hAnsi="楷体" w:eastAsia="仿宋_GB2312" w:cs="Times New Roman"/>
          <w:b w:val="0"/>
          <w:spacing w:val="-4"/>
          <w:sz w:val="28"/>
          <w:szCs w:val="28"/>
        </w:rPr>
        <w:t>特克斯县职业技术学校无下属预算单位，下设7个科室，分别为：办公室、教务科、招生培训就业科、实习实训科、总务科、党建科、德育科。主要负责校内日常事务管理工作，负责校外业务工作及负责各项数据上报工作及财务周转各项事务。</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（2）2021年特克斯县职业技术学校实有在职人员为68人，其中：</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行政在职0人（上年0人），与上年一致。</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事业在职人员</w:t>
      </w:r>
      <w:r>
        <w:rPr>
          <w:rStyle w:val="16"/>
          <w:rFonts w:ascii="仿宋_GB2312" w:hAnsi="楷体" w:eastAsia="仿宋_GB2312"/>
          <w:b w:val="0"/>
          <w:spacing w:val="-4"/>
          <w:sz w:val="28"/>
          <w:szCs w:val="28"/>
        </w:rPr>
        <w:t>68</w:t>
      </w:r>
      <w:r>
        <w:rPr>
          <w:rStyle w:val="16"/>
          <w:rFonts w:hint="eastAsia" w:ascii="仿宋_GB2312" w:hAnsi="楷体" w:eastAsia="仿宋_GB2312"/>
          <w:b w:val="0"/>
          <w:spacing w:val="-4"/>
          <w:sz w:val="28"/>
          <w:szCs w:val="28"/>
        </w:rPr>
        <w:t>人（上年</w:t>
      </w:r>
      <w:r>
        <w:rPr>
          <w:rStyle w:val="16"/>
          <w:rFonts w:ascii="仿宋_GB2312" w:hAnsi="楷体" w:eastAsia="仿宋_GB2312"/>
          <w:b w:val="0"/>
          <w:spacing w:val="-4"/>
          <w:sz w:val="28"/>
          <w:szCs w:val="28"/>
        </w:rPr>
        <w:t>68</w:t>
      </w:r>
      <w:r>
        <w:rPr>
          <w:rStyle w:val="16"/>
          <w:rFonts w:hint="eastAsia" w:ascii="仿宋_GB2312" w:hAnsi="楷体" w:eastAsia="仿宋_GB2312"/>
          <w:b w:val="0"/>
          <w:spacing w:val="-4"/>
          <w:sz w:val="28"/>
          <w:szCs w:val="28"/>
        </w:rPr>
        <w:t>人），比上年增加</w:t>
      </w:r>
      <w:r>
        <w:rPr>
          <w:rStyle w:val="16"/>
          <w:rFonts w:ascii="仿宋_GB2312" w:hAnsi="楷体" w:eastAsia="仿宋_GB2312"/>
          <w:b w:val="0"/>
          <w:spacing w:val="-4"/>
          <w:sz w:val="28"/>
          <w:szCs w:val="28"/>
        </w:rPr>
        <w:t>0</w:t>
      </w:r>
      <w:r>
        <w:rPr>
          <w:rStyle w:val="16"/>
          <w:rFonts w:hint="eastAsia" w:ascii="仿宋_GB2312" w:hAnsi="楷体" w:eastAsia="仿宋_GB2312"/>
          <w:b w:val="0"/>
          <w:spacing w:val="-4"/>
          <w:sz w:val="28"/>
          <w:szCs w:val="28"/>
        </w:rPr>
        <w:t>人。</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实有离休人员0人（上年0人）,与上年一致。</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实有退休人员52人（上年50人）,比上一年增加2人。</w:t>
      </w:r>
    </w:p>
    <w:p>
      <w:pPr>
        <w:pStyle w:val="5"/>
        <w:spacing w:line="360" w:lineRule="auto"/>
        <w:ind w:firstLine="562" w:firstLineChars="200"/>
        <w:rPr>
          <w:rStyle w:val="16"/>
          <w:rFonts w:ascii="仿宋" w:hAnsi="仿宋" w:eastAsia="仿宋"/>
          <w:b/>
          <w:bCs/>
        </w:rPr>
      </w:pPr>
      <w:r>
        <w:rPr>
          <w:rStyle w:val="16"/>
          <w:rFonts w:ascii="仿宋" w:hAnsi="仿宋" w:eastAsia="仿宋"/>
          <w:b/>
          <w:bCs/>
        </w:rPr>
        <w:t>3</w:t>
      </w:r>
      <w:r>
        <w:rPr>
          <w:rStyle w:val="16"/>
          <w:rFonts w:hint="eastAsia" w:ascii="仿宋" w:hAnsi="仿宋" w:eastAsia="仿宋"/>
          <w:b/>
          <w:bCs/>
        </w:rPr>
        <w:t>、重点工作计划</w:t>
      </w:r>
      <w:bookmarkEnd w:id="5"/>
    </w:p>
    <w:p>
      <w:pPr>
        <w:spacing w:line="360" w:lineRule="auto"/>
        <w:ind w:firstLine="544" w:firstLineChars="200"/>
        <w:rPr>
          <w:rStyle w:val="16"/>
          <w:rFonts w:ascii="仿宋_GB2312" w:hAnsi="楷体" w:eastAsia="仿宋_GB2312" w:cs="Times New Roman"/>
          <w:b w:val="0"/>
          <w:spacing w:val="-4"/>
          <w:sz w:val="28"/>
          <w:szCs w:val="28"/>
        </w:rPr>
      </w:pPr>
      <w:bookmarkStart w:id="6" w:name="_Toc70450294"/>
      <w:r>
        <w:rPr>
          <w:rStyle w:val="16"/>
          <w:rFonts w:ascii="仿宋_GB2312" w:hAnsi="楷体" w:eastAsia="仿宋_GB2312" w:cs="Times New Roman"/>
          <w:b w:val="0"/>
          <w:spacing w:val="-4"/>
          <w:sz w:val="28"/>
          <w:szCs w:val="28"/>
        </w:rPr>
        <w:t>1</w:t>
      </w:r>
      <w:r>
        <w:rPr>
          <w:rStyle w:val="16"/>
          <w:rFonts w:hint="eastAsia" w:ascii="仿宋_GB2312" w:hAnsi="楷体" w:eastAsia="仿宋_GB2312" w:cs="Times New Roman"/>
          <w:b w:val="0"/>
          <w:spacing w:val="-4"/>
          <w:sz w:val="28"/>
          <w:szCs w:val="28"/>
        </w:rPr>
        <w:t>：做好维稳及疫情防控工作，确保校园安全。</w:t>
      </w:r>
      <w:r>
        <w:rPr>
          <w:rStyle w:val="16"/>
          <w:rFonts w:ascii="仿宋_GB2312" w:hAnsi="楷体" w:eastAsia="仿宋_GB2312" w:cs="Times New Roman"/>
          <w:b w:val="0"/>
          <w:spacing w:val="-4"/>
          <w:sz w:val="28"/>
          <w:szCs w:val="28"/>
        </w:rPr>
        <w:t>2</w:t>
      </w:r>
      <w:r>
        <w:rPr>
          <w:rStyle w:val="16"/>
          <w:rFonts w:hint="eastAsia" w:ascii="仿宋_GB2312" w:hAnsi="楷体" w:eastAsia="仿宋_GB2312" w:cs="Times New Roman"/>
          <w:b w:val="0"/>
          <w:spacing w:val="-4"/>
          <w:sz w:val="28"/>
          <w:szCs w:val="28"/>
        </w:rPr>
        <w:t>：完成在职教师工资发放、按时完成社保、公积金缴纳。</w:t>
      </w:r>
      <w:r>
        <w:rPr>
          <w:rStyle w:val="16"/>
          <w:rFonts w:ascii="仿宋_GB2312" w:hAnsi="楷体" w:eastAsia="仿宋_GB2312" w:cs="Times New Roman"/>
          <w:b w:val="0"/>
          <w:spacing w:val="-4"/>
          <w:sz w:val="28"/>
          <w:szCs w:val="28"/>
        </w:rPr>
        <w:t>3</w:t>
      </w:r>
      <w:r>
        <w:rPr>
          <w:rStyle w:val="16"/>
          <w:rFonts w:hint="eastAsia" w:ascii="仿宋_GB2312" w:hAnsi="楷体" w:eastAsia="仿宋_GB2312" w:cs="Times New Roman"/>
          <w:b w:val="0"/>
          <w:spacing w:val="-4"/>
          <w:sz w:val="28"/>
          <w:szCs w:val="28"/>
        </w:rPr>
        <w:t>：及时完成退休教师取暖费、计生奖励金的发放。</w:t>
      </w:r>
      <w:r>
        <w:rPr>
          <w:rStyle w:val="16"/>
          <w:rFonts w:ascii="仿宋_GB2312" w:hAnsi="楷体" w:eastAsia="仿宋_GB2312" w:cs="Times New Roman"/>
          <w:b w:val="0"/>
          <w:spacing w:val="-4"/>
          <w:sz w:val="28"/>
          <w:szCs w:val="28"/>
        </w:rPr>
        <w:t>4</w:t>
      </w:r>
      <w:r>
        <w:rPr>
          <w:rStyle w:val="16"/>
          <w:rFonts w:hint="eastAsia" w:ascii="仿宋_GB2312" w:hAnsi="楷体" w:eastAsia="仿宋_GB2312" w:cs="Times New Roman"/>
          <w:b w:val="0"/>
          <w:spacing w:val="-4"/>
          <w:sz w:val="28"/>
          <w:szCs w:val="28"/>
        </w:rPr>
        <w:t>：做好教育教学管理工作，完成每年教学及招生任务。</w:t>
      </w:r>
      <w:r>
        <w:rPr>
          <w:rStyle w:val="16"/>
          <w:rFonts w:ascii="仿宋_GB2312" w:hAnsi="楷体" w:eastAsia="仿宋_GB2312" w:cs="Times New Roman"/>
          <w:b w:val="0"/>
          <w:spacing w:val="-4"/>
          <w:sz w:val="28"/>
          <w:szCs w:val="28"/>
        </w:rPr>
        <w:t>.5</w:t>
      </w:r>
      <w:r>
        <w:rPr>
          <w:rStyle w:val="16"/>
          <w:rFonts w:hint="eastAsia" w:ascii="仿宋_GB2312" w:hAnsi="楷体" w:eastAsia="仿宋_GB2312" w:cs="Times New Roman"/>
          <w:b w:val="0"/>
          <w:spacing w:val="-4"/>
          <w:sz w:val="28"/>
          <w:szCs w:val="28"/>
        </w:rPr>
        <w:t>：全面推进各类教师能力提升的培训，加强教师队伍建设。</w:t>
      </w:r>
      <w:r>
        <w:rPr>
          <w:rStyle w:val="16"/>
          <w:rFonts w:ascii="仿宋_GB2312" w:hAnsi="楷体" w:eastAsia="仿宋_GB2312" w:cs="Times New Roman"/>
          <w:b w:val="0"/>
          <w:spacing w:val="-4"/>
          <w:sz w:val="28"/>
          <w:szCs w:val="28"/>
        </w:rPr>
        <w:t>6.</w:t>
      </w:r>
      <w:r>
        <w:rPr>
          <w:rStyle w:val="16"/>
          <w:rFonts w:hint="eastAsia" w:ascii="仿宋_GB2312" w:hAnsi="楷体" w:eastAsia="仿宋_GB2312" w:cs="Times New Roman"/>
          <w:b w:val="0"/>
          <w:spacing w:val="-4"/>
          <w:sz w:val="28"/>
          <w:szCs w:val="28"/>
        </w:rPr>
        <w:t>：全面推进职业技能培训，培养学生掌握一定的文化水平和专业技能。</w:t>
      </w:r>
    </w:p>
    <w:p>
      <w:pPr>
        <w:pStyle w:val="4"/>
        <w:spacing w:line="360" w:lineRule="auto"/>
        <w:ind w:firstLine="138" w:firstLineChars="49"/>
        <w:rPr>
          <w:rStyle w:val="16"/>
          <w:rFonts w:ascii="仿宋" w:hAnsi="仿宋" w:eastAsia="仿宋"/>
          <w:b/>
          <w:bCs/>
          <w:sz w:val="28"/>
          <w:szCs w:val="28"/>
        </w:rPr>
      </w:pPr>
      <w:r>
        <w:rPr>
          <w:rStyle w:val="16"/>
          <w:rFonts w:hint="eastAsia" w:ascii="仿宋" w:hAnsi="仿宋" w:eastAsia="仿宋"/>
          <w:b/>
          <w:bCs/>
          <w:sz w:val="28"/>
          <w:szCs w:val="28"/>
        </w:rPr>
        <w:t>（二）部门单位整体支出规模、</w:t>
      </w:r>
      <w:bookmarkStart w:id="7" w:name="_Hlk70339807"/>
      <w:r>
        <w:rPr>
          <w:rStyle w:val="16"/>
          <w:rFonts w:hint="eastAsia" w:ascii="仿宋" w:hAnsi="仿宋" w:eastAsia="仿宋"/>
          <w:b/>
          <w:bCs/>
          <w:sz w:val="28"/>
          <w:szCs w:val="28"/>
        </w:rPr>
        <w:t>使用方法和主要内容、涉及对象及范围等</w:t>
      </w:r>
      <w:bookmarkEnd w:id="6"/>
    </w:p>
    <w:bookmarkEnd w:id="7"/>
    <w:p>
      <w:pPr>
        <w:pStyle w:val="5"/>
        <w:spacing w:line="360" w:lineRule="auto"/>
        <w:ind w:firstLine="562" w:firstLineChars="200"/>
        <w:rPr>
          <w:rStyle w:val="16"/>
          <w:rFonts w:ascii="仿宋" w:hAnsi="仿宋" w:eastAsia="仿宋"/>
          <w:b/>
          <w:bCs/>
        </w:rPr>
      </w:pPr>
      <w:bookmarkStart w:id="8" w:name="_Toc70450295"/>
      <w:r>
        <w:rPr>
          <w:rStyle w:val="16"/>
          <w:rFonts w:hint="eastAsia" w:ascii="仿宋" w:hAnsi="仿宋" w:eastAsia="仿宋"/>
          <w:b/>
          <w:bCs/>
        </w:rPr>
        <w:t>1、部门单位整体支出规模</w:t>
      </w:r>
      <w:bookmarkEnd w:id="8"/>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2021年批复</w:t>
      </w:r>
      <w:r>
        <w:rPr>
          <w:rStyle w:val="16"/>
          <w:rFonts w:hint="eastAsia" w:ascii="仿宋_GB2312" w:hAnsi="楷体" w:eastAsia="仿宋_GB2312" w:cs="Times New Roman"/>
          <w:b w:val="0"/>
          <w:spacing w:val="-4"/>
          <w:sz w:val="28"/>
          <w:szCs w:val="28"/>
          <w:lang w:val="en-US" w:eastAsia="zh-CN"/>
        </w:rPr>
        <w:t>我单位</w:t>
      </w:r>
      <w:r>
        <w:rPr>
          <w:rStyle w:val="16"/>
          <w:rFonts w:hint="eastAsia" w:ascii="仿宋_GB2312" w:hAnsi="楷体" w:eastAsia="仿宋_GB2312" w:cs="Times New Roman"/>
          <w:b w:val="0"/>
          <w:spacing w:val="-4"/>
          <w:sz w:val="28"/>
          <w:szCs w:val="28"/>
        </w:rPr>
        <w:t>预算为1349.35万元，其中：财政拨款为1349.35万元，2021年中追加4</w:t>
      </w:r>
      <w:r>
        <w:rPr>
          <w:rStyle w:val="16"/>
          <w:rFonts w:hint="eastAsia" w:ascii="仿宋_GB2312" w:hAnsi="楷体" w:eastAsia="仿宋_GB2312" w:cs="Times New Roman"/>
          <w:b w:val="0"/>
          <w:spacing w:val="-4"/>
          <w:sz w:val="28"/>
          <w:szCs w:val="28"/>
          <w:lang w:val="en-US" w:eastAsia="zh-CN"/>
        </w:rPr>
        <w:t>71.31</w:t>
      </w:r>
      <w:r>
        <w:rPr>
          <w:rStyle w:val="16"/>
          <w:rFonts w:hint="eastAsia" w:ascii="仿宋_GB2312" w:hAnsi="楷体" w:eastAsia="仿宋_GB2312" w:cs="Times New Roman"/>
          <w:b w:val="0"/>
          <w:spacing w:val="-4"/>
          <w:sz w:val="28"/>
          <w:szCs w:val="28"/>
        </w:rPr>
        <w:t>万元，调整率</w:t>
      </w:r>
      <w:r>
        <w:rPr>
          <w:rStyle w:val="16"/>
          <w:rFonts w:hint="eastAsia" w:ascii="仿宋_GB2312" w:hAnsi="楷体" w:eastAsia="仿宋_GB2312" w:cs="Times New Roman"/>
          <w:b w:val="0"/>
          <w:spacing w:val="-4"/>
          <w:sz w:val="28"/>
          <w:szCs w:val="28"/>
          <w:lang w:val="en-US" w:eastAsia="zh-CN"/>
        </w:rPr>
        <w:t>53.68</w:t>
      </w:r>
      <w:r>
        <w:rPr>
          <w:rStyle w:val="16"/>
          <w:rFonts w:hint="eastAsia" w:ascii="仿宋_GB2312" w:hAnsi="楷体" w:eastAsia="仿宋_GB2312" w:cs="Times New Roman"/>
          <w:b w:val="0"/>
          <w:spacing w:val="-4"/>
          <w:sz w:val="28"/>
          <w:szCs w:val="28"/>
        </w:rPr>
        <w:t>%。对比上年1190.6</w:t>
      </w:r>
      <w:r>
        <w:rPr>
          <w:rStyle w:val="16"/>
          <w:rFonts w:hint="eastAsia" w:ascii="仿宋_GB2312" w:hAnsi="楷体" w:eastAsia="仿宋_GB2312" w:cs="Times New Roman"/>
          <w:b w:val="0"/>
          <w:spacing w:val="-4"/>
          <w:sz w:val="28"/>
          <w:szCs w:val="28"/>
          <w:lang w:val="en-US" w:eastAsia="zh-CN"/>
        </w:rPr>
        <w:t>7</w:t>
      </w:r>
      <w:r>
        <w:rPr>
          <w:rStyle w:val="16"/>
          <w:rFonts w:hint="eastAsia" w:ascii="仿宋_GB2312" w:hAnsi="楷体" w:eastAsia="仿宋_GB2312" w:cs="Times New Roman"/>
          <w:b w:val="0"/>
          <w:spacing w:val="-4"/>
          <w:sz w:val="28"/>
          <w:szCs w:val="28"/>
        </w:rPr>
        <w:t>万元增加158.68万元，上升13.3</w:t>
      </w:r>
      <w:r>
        <w:rPr>
          <w:rStyle w:val="16"/>
          <w:rFonts w:hint="eastAsia" w:ascii="仿宋_GB2312" w:hAnsi="楷体" w:eastAsia="仿宋_GB2312" w:cs="Times New Roman"/>
          <w:b w:val="0"/>
          <w:spacing w:val="-4"/>
          <w:sz w:val="28"/>
          <w:szCs w:val="28"/>
          <w:lang w:val="en-US" w:eastAsia="zh-CN"/>
        </w:rPr>
        <w:t>3</w:t>
      </w:r>
      <w:r>
        <w:rPr>
          <w:rStyle w:val="16"/>
          <w:rFonts w:hint="eastAsia" w:ascii="仿宋_GB2312" w:hAnsi="楷体" w:eastAsia="仿宋_GB2312" w:cs="Times New Roman"/>
          <w:b w:val="0"/>
          <w:spacing w:val="-4"/>
          <w:sz w:val="28"/>
          <w:szCs w:val="28"/>
        </w:rPr>
        <w:t>%。</w:t>
      </w:r>
    </w:p>
    <w:p>
      <w:pPr>
        <w:spacing w:line="360" w:lineRule="auto"/>
        <w:ind w:firstLine="544" w:firstLineChars="200"/>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2021年实际决算支出1349.35万元，执行率100%，其中：</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1）基本支出1349.35万元，占总支出的100％，主要用于特克斯县职业技术学校机构正常运转、完成日常工作任务而发生的各项支出。其中：工资福利支出1050.24万元，主要用于在职和离退休人员基本工资、津贴补贴等人员经费。商品和服务支出273.48万元，主要用于办公费、印刷费、水电费、办公设备购置等。对个人和家庭的补助25.63万元，主要用于：人员支出和公用支出。公用经费主要包括：办公费、印刷费、水费、电费、邮电费、取暖费、物业管理费、差旅费、维修（护）费、培训费、劳务费、工会经费、福利费、其他商品和服务支出、公车运行费、办公设备购置、专用设备购置等。</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）项目支出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lang w:val="en-US" w:eastAsia="zh-CN"/>
        </w:rPr>
        <w:t>3</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本年度重点项目支出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万元，重点支出保障率</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val="en-US" w:eastAsia="zh-CN"/>
        </w:rPr>
        <w:t>4</w:t>
      </w:r>
      <w:r>
        <w:rPr>
          <w:rStyle w:val="16"/>
          <w:rFonts w:hint="eastAsia" w:ascii="仿宋_GB2312" w:hAnsi="楷体" w:eastAsia="仿宋_GB2312"/>
          <w:b w:val="0"/>
          <w:spacing w:val="-4"/>
          <w:sz w:val="28"/>
          <w:szCs w:val="28"/>
        </w:rPr>
        <w:t>）本年度我单位无政府采购预算。</w:t>
      </w:r>
    </w:p>
    <w:p>
      <w:pPr>
        <w:pStyle w:val="5"/>
        <w:spacing w:line="360" w:lineRule="auto"/>
        <w:ind w:firstLine="562" w:firstLineChars="200"/>
        <w:rPr>
          <w:rStyle w:val="16"/>
          <w:rFonts w:ascii="仿宋" w:hAnsi="仿宋" w:eastAsia="仿宋"/>
          <w:b/>
          <w:bCs/>
        </w:rPr>
      </w:pPr>
      <w:bookmarkStart w:id="9" w:name="_Toc70450296"/>
      <w:r>
        <w:rPr>
          <w:rStyle w:val="16"/>
          <w:rFonts w:ascii="仿宋" w:hAnsi="仿宋" w:eastAsia="仿宋"/>
          <w:b/>
          <w:bCs/>
        </w:rPr>
        <w:t>2</w:t>
      </w:r>
      <w:r>
        <w:rPr>
          <w:rStyle w:val="16"/>
          <w:rFonts w:hint="eastAsia" w:ascii="仿宋" w:hAnsi="仿宋" w:eastAsia="仿宋"/>
          <w:b/>
          <w:bCs/>
        </w:rPr>
        <w:t>、整体支出评价使用方法和主要内容、涉及对象及范围等</w:t>
      </w:r>
      <w:bookmarkEnd w:id="9"/>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b w:val="0"/>
          <w:spacing w:val="-4"/>
          <w:sz w:val="28"/>
          <w:szCs w:val="28"/>
        </w:rPr>
        <w:t>（</w:t>
      </w:r>
      <w:r>
        <w:rPr>
          <w:rStyle w:val="16"/>
          <w:rFonts w:hint="eastAsia" w:ascii="仿宋_GB2312" w:hAnsi="楷体" w:eastAsia="仿宋_GB2312" w:cs="Times New Roman"/>
          <w:b w:val="0"/>
          <w:spacing w:val="-4"/>
          <w:sz w:val="28"/>
          <w:szCs w:val="28"/>
        </w:rPr>
        <w:t>1）整体支出评价使用方法</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本次项目支出绩效自评采用因素分析法方法，原因是：特克斯县职业技术学校从数量上确定各因素对分析指标影响方向和影响程度一种方法，运用因素分析法应注意因素关联性、顺序性。</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（2）整体支出评价主要内容</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fldChar w:fldCharType="begin"/>
      </w:r>
      <w:r>
        <w:rPr>
          <w:rStyle w:val="16"/>
          <w:rFonts w:hint="eastAsia" w:ascii="仿宋_GB2312" w:hAnsi="楷体" w:eastAsia="仿宋_GB2312" w:cs="Times New Roman"/>
          <w:b w:val="0"/>
          <w:spacing w:val="-4"/>
          <w:sz w:val="28"/>
          <w:szCs w:val="28"/>
        </w:rPr>
        <w:instrText xml:space="preserve"> = 1 \* GB3 </w:instrText>
      </w:r>
      <w:r>
        <w:rPr>
          <w:rStyle w:val="16"/>
          <w:rFonts w:hint="eastAsia" w:ascii="仿宋_GB2312" w:hAnsi="楷体" w:eastAsia="仿宋_GB2312" w:cs="Times New Roman"/>
          <w:b w:val="0"/>
          <w:spacing w:val="-4"/>
          <w:sz w:val="28"/>
          <w:szCs w:val="28"/>
        </w:rPr>
        <w:fldChar w:fldCharType="separate"/>
      </w:r>
      <w:r>
        <w:rPr>
          <w:rStyle w:val="16"/>
          <w:rFonts w:hint="eastAsia" w:ascii="仿宋_GB2312" w:hAnsi="楷体" w:eastAsia="仿宋_GB2312" w:cs="Times New Roman"/>
          <w:b w:val="0"/>
          <w:spacing w:val="-4"/>
          <w:sz w:val="28"/>
          <w:szCs w:val="28"/>
        </w:rPr>
        <w:t>①</w:t>
      </w:r>
      <w:r>
        <w:rPr>
          <w:rStyle w:val="16"/>
          <w:rFonts w:hint="eastAsia" w:ascii="仿宋_GB2312" w:hAnsi="楷体" w:eastAsia="仿宋_GB2312" w:cs="Times New Roman"/>
          <w:b w:val="0"/>
          <w:spacing w:val="-4"/>
          <w:sz w:val="28"/>
          <w:szCs w:val="28"/>
        </w:rPr>
        <w:fldChar w:fldCharType="end"/>
      </w:r>
      <w:r>
        <w:rPr>
          <w:rStyle w:val="16"/>
          <w:rFonts w:hint="eastAsia" w:ascii="仿宋_GB2312" w:hAnsi="楷体" w:eastAsia="仿宋_GB2312" w:cs="Times New Roman"/>
          <w:b w:val="0"/>
          <w:spacing w:val="-4"/>
          <w:sz w:val="28"/>
          <w:szCs w:val="28"/>
        </w:rPr>
        <w:t>绩效目标的设定情况。重点评价绩效目标设立的充分性、明确性、合理性以及细化程度。</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fldChar w:fldCharType="begin"/>
      </w:r>
      <w:r>
        <w:rPr>
          <w:rStyle w:val="16"/>
          <w:rFonts w:hint="eastAsia" w:ascii="仿宋_GB2312" w:hAnsi="楷体" w:eastAsia="仿宋_GB2312" w:cs="Times New Roman"/>
          <w:b w:val="0"/>
          <w:spacing w:val="-4"/>
          <w:sz w:val="28"/>
          <w:szCs w:val="28"/>
        </w:rPr>
        <w:instrText xml:space="preserve"> = 2 \* GB3 </w:instrText>
      </w:r>
      <w:r>
        <w:rPr>
          <w:rStyle w:val="16"/>
          <w:rFonts w:hint="eastAsia" w:ascii="仿宋_GB2312" w:hAnsi="楷体" w:eastAsia="仿宋_GB2312" w:cs="Times New Roman"/>
          <w:b w:val="0"/>
          <w:spacing w:val="-4"/>
          <w:sz w:val="28"/>
          <w:szCs w:val="28"/>
        </w:rPr>
        <w:fldChar w:fldCharType="separate"/>
      </w:r>
      <w:r>
        <w:rPr>
          <w:rStyle w:val="16"/>
          <w:rFonts w:hint="eastAsia" w:ascii="仿宋_GB2312" w:hAnsi="楷体" w:eastAsia="仿宋_GB2312" w:cs="Times New Roman"/>
          <w:b w:val="0"/>
          <w:spacing w:val="-4"/>
          <w:sz w:val="28"/>
          <w:szCs w:val="28"/>
        </w:rPr>
        <w:t>②</w:t>
      </w:r>
      <w:r>
        <w:rPr>
          <w:rStyle w:val="16"/>
          <w:rFonts w:hint="eastAsia" w:ascii="仿宋_GB2312" w:hAnsi="楷体" w:eastAsia="仿宋_GB2312" w:cs="Times New Roman"/>
          <w:b w:val="0"/>
          <w:spacing w:val="-4"/>
          <w:sz w:val="28"/>
          <w:szCs w:val="28"/>
        </w:rPr>
        <w:fldChar w:fldCharType="end"/>
      </w:r>
      <w:r>
        <w:rPr>
          <w:rStyle w:val="16"/>
          <w:rFonts w:hint="eastAsia" w:ascii="仿宋_GB2312" w:hAnsi="楷体" w:eastAsia="仿宋_GB2312" w:cs="Times New Roman"/>
          <w:b w:val="0"/>
          <w:spacing w:val="-4"/>
          <w:sz w:val="28"/>
          <w:szCs w:val="28"/>
        </w:rPr>
        <w:t>资金投入和使用情况。重点评价资金分配过程、投入方式、资金到位、预算执行和结果。</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fldChar w:fldCharType="begin"/>
      </w:r>
      <w:r>
        <w:rPr>
          <w:rStyle w:val="16"/>
          <w:rFonts w:hint="eastAsia" w:ascii="仿宋_GB2312" w:hAnsi="楷体" w:eastAsia="仿宋_GB2312" w:cs="Times New Roman"/>
          <w:b w:val="0"/>
          <w:spacing w:val="-4"/>
          <w:sz w:val="28"/>
          <w:szCs w:val="28"/>
        </w:rPr>
        <w:instrText xml:space="preserve"> = 3 \* GB3 </w:instrText>
      </w:r>
      <w:r>
        <w:rPr>
          <w:rStyle w:val="16"/>
          <w:rFonts w:hint="eastAsia" w:ascii="仿宋_GB2312" w:hAnsi="楷体" w:eastAsia="仿宋_GB2312" w:cs="Times New Roman"/>
          <w:b w:val="0"/>
          <w:spacing w:val="-4"/>
          <w:sz w:val="28"/>
          <w:szCs w:val="28"/>
        </w:rPr>
        <w:fldChar w:fldCharType="separate"/>
      </w:r>
      <w:r>
        <w:rPr>
          <w:rStyle w:val="16"/>
          <w:rFonts w:hint="eastAsia" w:ascii="仿宋_GB2312" w:hAnsi="楷体" w:eastAsia="仿宋_GB2312" w:cs="Times New Roman"/>
          <w:b w:val="0"/>
          <w:spacing w:val="-4"/>
          <w:sz w:val="28"/>
          <w:szCs w:val="28"/>
        </w:rPr>
        <w:t>③</w:t>
      </w:r>
      <w:r>
        <w:rPr>
          <w:rStyle w:val="16"/>
          <w:rFonts w:hint="eastAsia" w:ascii="仿宋_GB2312" w:hAnsi="楷体" w:eastAsia="仿宋_GB2312" w:cs="Times New Roman"/>
          <w:b w:val="0"/>
          <w:spacing w:val="-4"/>
          <w:sz w:val="28"/>
          <w:szCs w:val="28"/>
        </w:rPr>
        <w:fldChar w:fldCharType="end"/>
      </w:r>
      <w:r>
        <w:rPr>
          <w:rStyle w:val="16"/>
          <w:rFonts w:hint="eastAsia" w:ascii="仿宋_GB2312" w:hAnsi="楷体" w:eastAsia="仿宋_GB2312" w:cs="Times New Roman"/>
          <w:b w:val="0"/>
          <w:spacing w:val="-4"/>
          <w:sz w:val="28"/>
          <w:szCs w:val="28"/>
        </w:rPr>
        <w:t>为实现绩效目标制定的制度、采取的措施等。包括项目管理制度、财务管理制度、资产管理制度和绩效跟踪管理措施等。</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fldChar w:fldCharType="begin"/>
      </w:r>
      <w:r>
        <w:rPr>
          <w:rStyle w:val="16"/>
          <w:rFonts w:hint="eastAsia" w:ascii="仿宋_GB2312" w:hAnsi="楷体" w:eastAsia="仿宋_GB2312" w:cs="Times New Roman"/>
          <w:b w:val="0"/>
          <w:spacing w:val="-4"/>
          <w:sz w:val="28"/>
          <w:szCs w:val="28"/>
        </w:rPr>
        <w:instrText xml:space="preserve"> = 4 \* GB3 </w:instrText>
      </w:r>
      <w:r>
        <w:rPr>
          <w:rStyle w:val="16"/>
          <w:rFonts w:hint="eastAsia" w:ascii="仿宋_GB2312" w:hAnsi="楷体" w:eastAsia="仿宋_GB2312" w:cs="Times New Roman"/>
          <w:b w:val="0"/>
          <w:spacing w:val="-4"/>
          <w:sz w:val="28"/>
          <w:szCs w:val="28"/>
        </w:rPr>
        <w:fldChar w:fldCharType="separate"/>
      </w:r>
      <w:r>
        <w:rPr>
          <w:rStyle w:val="16"/>
          <w:rFonts w:hint="eastAsia" w:ascii="仿宋_GB2312" w:hAnsi="楷体" w:eastAsia="仿宋_GB2312" w:cs="Times New Roman"/>
          <w:b w:val="0"/>
          <w:spacing w:val="-4"/>
          <w:sz w:val="28"/>
          <w:szCs w:val="28"/>
        </w:rPr>
        <w:t>④</w:t>
      </w:r>
      <w:r>
        <w:rPr>
          <w:rStyle w:val="16"/>
          <w:rFonts w:hint="eastAsia" w:ascii="仿宋_GB2312" w:hAnsi="楷体" w:eastAsia="仿宋_GB2312" w:cs="Times New Roman"/>
          <w:b w:val="0"/>
          <w:spacing w:val="-4"/>
          <w:sz w:val="28"/>
          <w:szCs w:val="28"/>
        </w:rPr>
        <w:fldChar w:fldCharType="end"/>
      </w:r>
      <w:r>
        <w:rPr>
          <w:rStyle w:val="16"/>
          <w:rFonts w:hint="eastAsia" w:ascii="仿宋_GB2312" w:hAnsi="楷体" w:eastAsia="仿宋_GB2312" w:cs="Times New Roman"/>
          <w:b w:val="0"/>
          <w:spacing w:val="-4"/>
          <w:sz w:val="28"/>
          <w:szCs w:val="28"/>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（3）整体支出评价涉及对象及范围</w:t>
      </w:r>
    </w:p>
    <w:p>
      <w:pPr>
        <w:spacing w:line="360" w:lineRule="auto"/>
        <w:ind w:firstLine="544" w:firstLineChars="200"/>
        <w:rPr>
          <w:rStyle w:val="16"/>
          <w:rFonts w:ascii="仿宋_GB2312" w:hAnsi="楷体" w:eastAsia="仿宋_GB2312" w:cs="Times New Roman"/>
          <w:b w:val="0"/>
          <w:spacing w:val="-4"/>
          <w:sz w:val="28"/>
          <w:szCs w:val="28"/>
        </w:rPr>
      </w:pPr>
      <w:bookmarkStart w:id="10" w:name="_Toc70450297"/>
      <w:r>
        <w:rPr>
          <w:rStyle w:val="16"/>
          <w:rFonts w:hint="eastAsia" w:ascii="仿宋_GB2312" w:hAnsi="楷体" w:eastAsia="仿宋_GB2312" w:cs="Times New Roman"/>
          <w:b w:val="0"/>
          <w:spacing w:val="-4"/>
          <w:sz w:val="28"/>
          <w:szCs w:val="28"/>
        </w:rPr>
        <w:t>涉及对象：本次评价对象是特克斯县职业技术学校所有财政资金支出活动。</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整体支出评价范围：</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fldChar w:fldCharType="begin"/>
      </w:r>
      <w:r>
        <w:rPr>
          <w:rStyle w:val="16"/>
          <w:rFonts w:hint="eastAsia" w:ascii="仿宋_GB2312" w:hAnsi="楷体" w:eastAsia="仿宋_GB2312" w:cs="Times New Roman"/>
          <w:b w:val="0"/>
          <w:spacing w:val="-4"/>
          <w:sz w:val="28"/>
          <w:szCs w:val="28"/>
        </w:rPr>
        <w:instrText xml:space="preserve"> = 1 \* GB3 </w:instrText>
      </w:r>
      <w:r>
        <w:rPr>
          <w:rStyle w:val="16"/>
          <w:rFonts w:hint="eastAsia" w:ascii="仿宋_GB2312" w:hAnsi="楷体" w:eastAsia="仿宋_GB2312" w:cs="Times New Roman"/>
          <w:b w:val="0"/>
          <w:spacing w:val="-4"/>
          <w:sz w:val="28"/>
          <w:szCs w:val="28"/>
        </w:rPr>
        <w:fldChar w:fldCharType="separate"/>
      </w:r>
      <w:r>
        <w:rPr>
          <w:rStyle w:val="16"/>
          <w:rFonts w:hint="eastAsia" w:ascii="仿宋_GB2312" w:hAnsi="楷体" w:eastAsia="仿宋_GB2312" w:cs="Times New Roman"/>
          <w:b w:val="0"/>
          <w:spacing w:val="-4"/>
          <w:sz w:val="28"/>
          <w:szCs w:val="28"/>
        </w:rPr>
        <w:t>①</w:t>
      </w:r>
      <w:r>
        <w:rPr>
          <w:rStyle w:val="16"/>
          <w:rFonts w:hint="eastAsia" w:ascii="仿宋_GB2312" w:hAnsi="楷体" w:eastAsia="仿宋_GB2312" w:cs="Times New Roman"/>
          <w:b w:val="0"/>
          <w:spacing w:val="-4"/>
          <w:sz w:val="28"/>
          <w:szCs w:val="28"/>
        </w:rPr>
        <w:fldChar w:fldCharType="end"/>
      </w:r>
      <w:r>
        <w:rPr>
          <w:rStyle w:val="16"/>
          <w:rFonts w:hint="eastAsia" w:ascii="仿宋_GB2312" w:hAnsi="楷体" w:eastAsia="仿宋_GB2312" w:cs="Times New Roman"/>
          <w:b w:val="0"/>
          <w:spacing w:val="-4"/>
          <w:sz w:val="28"/>
          <w:szCs w:val="28"/>
        </w:rPr>
        <w:t>基本支出1349.35万元，其中：工资福利支出</w:t>
      </w:r>
      <w:r>
        <w:rPr>
          <w:rStyle w:val="16"/>
          <w:rFonts w:hint="eastAsia" w:ascii="仿宋_GB2312" w:hAnsi="楷体" w:eastAsia="仿宋_GB2312" w:cs="Times New Roman"/>
          <w:b w:val="0"/>
          <w:spacing w:val="-4"/>
          <w:sz w:val="28"/>
          <w:szCs w:val="28"/>
          <w:lang w:eastAsia="zh-CN"/>
        </w:rPr>
        <w:t>、</w:t>
      </w:r>
      <w:r>
        <w:rPr>
          <w:rStyle w:val="16"/>
          <w:rFonts w:hint="eastAsia" w:ascii="仿宋_GB2312" w:hAnsi="楷体" w:eastAsia="仿宋_GB2312" w:cs="Times New Roman"/>
          <w:b w:val="0"/>
          <w:spacing w:val="-4"/>
          <w:sz w:val="28"/>
          <w:szCs w:val="28"/>
        </w:rPr>
        <w:t>商品和服务支出</w:t>
      </w:r>
      <w:r>
        <w:rPr>
          <w:rStyle w:val="16"/>
          <w:rFonts w:hint="eastAsia" w:ascii="仿宋_GB2312" w:hAnsi="楷体" w:eastAsia="仿宋_GB2312" w:cs="Times New Roman"/>
          <w:b w:val="0"/>
          <w:spacing w:val="-4"/>
          <w:sz w:val="28"/>
          <w:szCs w:val="28"/>
          <w:lang w:eastAsia="zh-CN"/>
        </w:rPr>
        <w:t>、</w:t>
      </w:r>
      <w:r>
        <w:rPr>
          <w:rStyle w:val="16"/>
          <w:rFonts w:hint="eastAsia" w:ascii="仿宋_GB2312" w:hAnsi="楷体" w:eastAsia="仿宋_GB2312" w:cs="Times New Roman"/>
          <w:b w:val="0"/>
          <w:spacing w:val="-4"/>
          <w:sz w:val="28"/>
          <w:szCs w:val="28"/>
        </w:rPr>
        <w:t>对个人和家庭的补助。</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ascii="仿宋_GB2312" w:hAnsi="楷体" w:eastAsia="仿宋_GB2312"/>
          <w:b w:val="0"/>
          <w:spacing w:val="-4"/>
          <w:sz w:val="28"/>
          <w:szCs w:val="28"/>
        </w:rPr>
        <w:fldChar w:fldCharType="begin"/>
      </w:r>
      <w:r>
        <w:rPr>
          <w:rStyle w:val="16"/>
          <w:rFonts w:ascii="仿宋_GB2312" w:hAnsi="楷体" w:eastAsia="仿宋_GB2312"/>
          <w:b w:val="0"/>
          <w:spacing w:val="-4"/>
          <w:sz w:val="28"/>
          <w:szCs w:val="28"/>
        </w:rPr>
        <w:instrText xml:space="preserve"> </w:instrText>
      </w:r>
      <w:r>
        <w:rPr>
          <w:rStyle w:val="16"/>
          <w:rFonts w:hint="eastAsia" w:ascii="仿宋_GB2312" w:hAnsi="楷体" w:eastAsia="仿宋_GB2312"/>
          <w:b w:val="0"/>
          <w:spacing w:val="-4"/>
          <w:sz w:val="28"/>
          <w:szCs w:val="28"/>
        </w:rPr>
        <w:instrText xml:space="preserve">= 2 \* GB3</w:instrText>
      </w:r>
      <w:r>
        <w:rPr>
          <w:rStyle w:val="16"/>
          <w:rFonts w:ascii="仿宋_GB2312" w:hAnsi="楷体" w:eastAsia="仿宋_GB2312"/>
          <w:b w:val="0"/>
          <w:spacing w:val="-4"/>
          <w:sz w:val="28"/>
          <w:szCs w:val="28"/>
        </w:rPr>
        <w:instrText xml:space="preserve"> </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②</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项目支出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w:t>
      </w:r>
    </w:p>
    <w:p>
      <w:pPr>
        <w:pStyle w:val="3"/>
        <w:spacing w:line="360" w:lineRule="auto"/>
        <w:rPr>
          <w:rFonts w:ascii="仿宋" w:hAnsi="仿宋" w:eastAsia="仿宋"/>
          <w:sz w:val="36"/>
          <w:szCs w:val="36"/>
          <w:lang w:bidi="ar"/>
        </w:rPr>
      </w:pPr>
      <w:r>
        <w:rPr>
          <w:rFonts w:hint="eastAsia" w:ascii="仿宋" w:hAnsi="仿宋" w:eastAsia="仿宋"/>
          <w:sz w:val="36"/>
          <w:szCs w:val="36"/>
          <w:lang w:bidi="ar"/>
        </w:rPr>
        <w:t>二、部门单位整体支出管理及使用情况</w:t>
      </w:r>
      <w:bookmarkEnd w:id="10"/>
    </w:p>
    <w:p>
      <w:pPr>
        <w:pStyle w:val="4"/>
        <w:spacing w:line="360" w:lineRule="auto"/>
        <w:rPr>
          <w:rStyle w:val="16"/>
          <w:rFonts w:ascii="仿宋" w:hAnsi="仿宋" w:eastAsia="仿宋"/>
          <w:b/>
          <w:bCs/>
        </w:rPr>
      </w:pPr>
      <w:bookmarkStart w:id="11" w:name="_Toc70450298"/>
      <w:r>
        <w:rPr>
          <w:rStyle w:val="16"/>
          <w:rFonts w:hint="eastAsia" w:ascii="仿宋" w:hAnsi="仿宋" w:eastAsia="仿宋"/>
          <w:b/>
          <w:bCs/>
        </w:rPr>
        <w:t>（一）预算管理</w:t>
      </w:r>
      <w:bookmarkEnd w:id="11"/>
    </w:p>
    <w:p>
      <w:pPr>
        <w:pStyle w:val="5"/>
        <w:spacing w:line="360" w:lineRule="auto"/>
        <w:ind w:firstLine="562" w:firstLineChars="200"/>
        <w:rPr>
          <w:rStyle w:val="16"/>
          <w:rFonts w:ascii="仿宋" w:hAnsi="仿宋" w:eastAsia="仿宋"/>
          <w:b/>
          <w:bCs/>
        </w:rPr>
      </w:pPr>
      <w:bookmarkStart w:id="12" w:name="_Toc70450299"/>
      <w:r>
        <w:rPr>
          <w:rStyle w:val="16"/>
          <w:rFonts w:ascii="仿宋" w:hAnsi="仿宋" w:eastAsia="仿宋"/>
          <w:b/>
          <w:bCs/>
        </w:rPr>
        <w:t>1</w:t>
      </w:r>
      <w:r>
        <w:rPr>
          <w:rStyle w:val="16"/>
          <w:rFonts w:hint="eastAsia" w:ascii="仿宋" w:hAnsi="仿宋" w:eastAsia="仿宋"/>
          <w:b/>
          <w:bCs/>
        </w:rPr>
        <w:t>、预算编制管理</w:t>
      </w:r>
      <w:bookmarkEnd w:id="12"/>
    </w:p>
    <w:p>
      <w:pPr>
        <w:spacing w:line="360" w:lineRule="auto"/>
        <w:ind w:firstLine="544" w:firstLineChars="200"/>
        <w:rPr>
          <w:rStyle w:val="16"/>
          <w:rFonts w:ascii="仿宋_GB2312" w:hAnsi="楷体" w:eastAsia="仿宋_GB2312" w:cs="Times New Roman"/>
          <w:b w:val="0"/>
          <w:spacing w:val="-4"/>
          <w:sz w:val="28"/>
          <w:szCs w:val="28"/>
        </w:rPr>
      </w:pPr>
      <w:bookmarkStart w:id="13" w:name="_Toc70450300"/>
      <w:r>
        <w:rPr>
          <w:rStyle w:val="16"/>
          <w:rFonts w:hint="eastAsia" w:ascii="仿宋_GB2312" w:hAnsi="楷体" w:eastAsia="仿宋_GB2312" w:cs="Times New Roman"/>
          <w:b w:val="0"/>
          <w:spacing w:val="-4"/>
          <w:sz w:val="28"/>
          <w:szCs w:val="28"/>
        </w:rPr>
        <w:t>特克斯县职业技术学校严格按照财政部门预算编制与预算调整的工作要求，在预算编制、分配依据充分的条件下，切实做好“先定目标再编预算”，确保预算分配结果合理。同时按照特克斯县</w:t>
      </w:r>
      <w:r>
        <w:rPr>
          <w:rStyle w:val="16"/>
          <w:rFonts w:hint="eastAsia" w:ascii="仿宋_GB2312" w:hAnsi="楷体" w:eastAsia="仿宋_GB2312" w:cs="Times New Roman"/>
          <w:b w:val="0"/>
          <w:spacing w:val="-4"/>
          <w:sz w:val="28"/>
          <w:szCs w:val="28"/>
          <w:lang w:val="en-US" w:eastAsia="zh-CN"/>
        </w:rPr>
        <w:t>财政局</w:t>
      </w:r>
      <w:r>
        <w:rPr>
          <w:rStyle w:val="16"/>
          <w:rFonts w:hint="eastAsia" w:ascii="仿宋_GB2312" w:hAnsi="楷体" w:eastAsia="仿宋_GB2312" w:cs="Times New Roman"/>
          <w:b w:val="0"/>
          <w:spacing w:val="-4"/>
          <w:sz w:val="28"/>
          <w:szCs w:val="28"/>
        </w:rPr>
        <w:t>要求，部门预算及绩效目标在特克斯县人民政府政务网站公开，</w:t>
      </w:r>
      <w:r>
        <w:rPr>
          <w:rStyle w:val="16"/>
          <w:rFonts w:hint="eastAsia" w:ascii="仿宋_GB2312" w:hAnsi="楷体" w:eastAsia="仿宋_GB2312" w:cs="Times New Roman"/>
          <w:b w:val="0"/>
          <w:spacing w:val="-4"/>
          <w:sz w:val="28"/>
          <w:szCs w:val="28"/>
          <w:lang w:val="zh-CN"/>
        </w:rPr>
        <w:t>广泛接受社会监督</w:t>
      </w:r>
      <w:r>
        <w:rPr>
          <w:rStyle w:val="16"/>
          <w:rFonts w:hint="eastAsia" w:ascii="仿宋_GB2312" w:hAnsi="楷体" w:eastAsia="仿宋_GB2312" w:cs="Times New Roman"/>
          <w:b w:val="0"/>
          <w:spacing w:val="-4"/>
          <w:sz w:val="28"/>
          <w:szCs w:val="28"/>
        </w:rPr>
        <w:t>.</w:t>
      </w:r>
    </w:p>
    <w:p>
      <w:pPr>
        <w:pStyle w:val="5"/>
        <w:spacing w:line="360" w:lineRule="auto"/>
        <w:ind w:firstLine="562" w:firstLineChars="200"/>
        <w:rPr>
          <w:rStyle w:val="16"/>
          <w:rFonts w:ascii="仿宋" w:hAnsi="仿宋" w:eastAsia="仿宋"/>
          <w:b/>
          <w:bCs/>
        </w:rPr>
      </w:pPr>
      <w:r>
        <w:rPr>
          <w:rStyle w:val="16"/>
          <w:rFonts w:hint="eastAsia" w:ascii="仿宋" w:hAnsi="仿宋" w:eastAsia="仿宋"/>
          <w:b/>
          <w:bCs/>
        </w:rPr>
        <w:t>2</w:t>
      </w:r>
      <w:r>
        <w:rPr>
          <w:rStyle w:val="16"/>
          <w:rFonts w:ascii="仿宋" w:hAnsi="仿宋" w:eastAsia="仿宋"/>
          <w:b/>
          <w:bCs/>
        </w:rPr>
        <w:t>、预算</w:t>
      </w:r>
      <w:r>
        <w:rPr>
          <w:rStyle w:val="16"/>
          <w:rFonts w:hint="eastAsia" w:ascii="仿宋" w:hAnsi="仿宋" w:eastAsia="仿宋"/>
          <w:b/>
          <w:bCs/>
        </w:rPr>
        <w:t>支出</w:t>
      </w:r>
      <w:r>
        <w:rPr>
          <w:rStyle w:val="16"/>
          <w:rFonts w:ascii="仿宋" w:hAnsi="仿宋" w:eastAsia="仿宋"/>
          <w:b/>
          <w:bCs/>
        </w:rPr>
        <w:t>管理</w:t>
      </w:r>
      <w:bookmarkEnd w:id="13"/>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特克斯县职业技术学校按照财政要求基本支出分月度申报资金使用计划，由财政部门按照进度每月按期拨付，人员支出按照工资计划发放工资；依照特克斯县职业技术学校《财务管理制度》相关规定和特克斯县职业技术学校《财务管理制度》规定流程，资金支出按照我内控体系中设定的流程申报审批进行；项目支出属于政府采购的，按照局特克斯县职业技术学校《政府采购与招标管理办法》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6"/>
          <w:rFonts w:ascii="仿宋_GB2312" w:hAnsi="楷体" w:eastAsia="仿宋_GB2312"/>
          <w:b w:val="0"/>
          <w:bCs/>
          <w:spacing w:val="-4"/>
          <w:sz w:val="28"/>
          <w:szCs w:val="28"/>
          <w:highlight w:val="green"/>
        </w:rPr>
      </w:pPr>
      <w:bookmarkStart w:id="14" w:name="_Toc70450301"/>
      <w:r>
        <w:rPr>
          <w:rStyle w:val="16"/>
          <w:rFonts w:hint="eastAsia"/>
          <w:b/>
          <w:bCs/>
          <w:sz w:val="28"/>
          <w:szCs w:val="28"/>
        </w:rPr>
        <w:t>（二）基本支出管理及使用情况</w:t>
      </w:r>
      <w:bookmarkEnd w:id="14"/>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2021年基本支出预算安排1349.35万元，实际到1349.35万元,实际支出1349.35万元，占总支出的100％，其中：工资福利支出1050.24万元、商品和服务支出273.48万元、对个人和家庭的补助25.63万元、主要用于人员工资支出，办公费、印刷费、水电费、办公设备购置等。资本性支出0万元。</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2021年基本支出比上年1190.6</w:t>
      </w:r>
      <w:r>
        <w:rPr>
          <w:rStyle w:val="16"/>
          <w:rFonts w:hint="eastAsia" w:ascii="仿宋_GB2312" w:hAnsi="楷体" w:eastAsia="仿宋_GB2312" w:cs="Times New Roman"/>
          <w:b w:val="0"/>
          <w:spacing w:val="-4"/>
          <w:sz w:val="28"/>
          <w:szCs w:val="28"/>
          <w:lang w:val="en-US" w:eastAsia="zh-CN"/>
        </w:rPr>
        <w:t>7</w:t>
      </w:r>
      <w:r>
        <w:rPr>
          <w:rStyle w:val="16"/>
          <w:rFonts w:hint="eastAsia" w:ascii="仿宋_GB2312" w:hAnsi="楷体" w:eastAsia="仿宋_GB2312" w:cs="Times New Roman"/>
          <w:b w:val="0"/>
          <w:spacing w:val="-4"/>
          <w:sz w:val="28"/>
          <w:szCs w:val="28"/>
        </w:rPr>
        <w:t>万元,增加158.68万元，上升 13.3</w:t>
      </w:r>
      <w:r>
        <w:rPr>
          <w:rStyle w:val="16"/>
          <w:rFonts w:hint="eastAsia" w:ascii="仿宋_GB2312" w:hAnsi="楷体" w:eastAsia="仿宋_GB2312" w:cs="Times New Roman"/>
          <w:b w:val="0"/>
          <w:spacing w:val="-4"/>
          <w:sz w:val="28"/>
          <w:szCs w:val="28"/>
          <w:lang w:val="en-US" w:eastAsia="zh-CN"/>
        </w:rPr>
        <w:t>3</w:t>
      </w:r>
      <w:r>
        <w:rPr>
          <w:rStyle w:val="16"/>
          <w:rFonts w:hint="eastAsia" w:ascii="仿宋_GB2312" w:hAnsi="楷体" w:eastAsia="仿宋_GB2312" w:cs="Times New Roman"/>
          <w:b w:val="0"/>
          <w:spacing w:val="-4"/>
          <w:sz w:val="28"/>
          <w:szCs w:val="28"/>
        </w:rPr>
        <w:t>%，支出上升的主要原因是人员调整，2021年3月绩效调标，发放2018年.2020年绩效奖金及2020年综合治理奖。</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2021年一般公共预算“三公”经费数为0.8万元，其中：因公出国（境）费0万元，公务用车购置0万元，公务用车运行费0.8万元，公务接待费0万元。</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2021年一般公共预算“三公”经费比上年增加0万元，其中：因公出国（境）费增加0万元，主要原因是：2021年因公出国（境）费未安排预算，公务用车购置费为0，主要原因是：2021年公务用车购置费未安排预算，2021年公务用车运行费增加0万元，主要原因是：2021年安排公务用车运行费与上年持平。公务接待费增加0万元，主要原因是：2021年我单位未安排预算。</w:t>
      </w:r>
    </w:p>
    <w:p>
      <w:pPr>
        <w:spacing w:line="360" w:lineRule="auto"/>
        <w:ind w:firstLine="544" w:firstLineChars="200"/>
        <w:rPr>
          <w:rStyle w:val="16"/>
          <w:rFonts w:ascii="仿宋_GB2312" w:hAnsi="楷体" w:eastAsia="仿宋_GB2312" w:cs="Times New Roman"/>
          <w:b w:val="0"/>
          <w:spacing w:val="-4"/>
          <w:sz w:val="28"/>
          <w:szCs w:val="28"/>
        </w:rPr>
      </w:pPr>
      <w:bookmarkStart w:id="15" w:name="_Toc70450302"/>
      <w:r>
        <w:rPr>
          <w:rStyle w:val="16"/>
          <w:rFonts w:hint="eastAsia" w:ascii="仿宋_GB2312" w:hAnsi="楷体" w:eastAsia="仿宋_GB2312" w:cs="Times New Roman"/>
          <w:b w:val="0"/>
          <w:spacing w:val="-4"/>
          <w:sz w:val="28"/>
          <w:szCs w:val="28"/>
        </w:rPr>
        <w:t>（三）专项支出管理及使用情况</w:t>
      </w:r>
      <w:bookmarkEnd w:id="15"/>
    </w:p>
    <w:p>
      <w:pPr>
        <w:spacing w:line="360" w:lineRule="auto"/>
        <w:ind w:firstLine="544" w:firstLineChars="200"/>
        <w:rPr>
          <w:rStyle w:val="16"/>
          <w:rFonts w:ascii="仿宋_GB2312" w:hAnsi="楷体" w:eastAsia="仿宋_GB2312" w:cs="Times New Roman"/>
          <w:b w:val="0"/>
          <w:spacing w:val="-4"/>
          <w:sz w:val="28"/>
          <w:szCs w:val="28"/>
        </w:rPr>
      </w:pPr>
      <w:bookmarkStart w:id="16" w:name="_Toc70450303"/>
      <w:r>
        <w:rPr>
          <w:rStyle w:val="16"/>
          <w:rFonts w:hint="eastAsia" w:ascii="仿宋_GB2312" w:hAnsi="楷体" w:eastAsia="仿宋_GB2312" w:cs="Times New Roman"/>
          <w:b w:val="0"/>
          <w:spacing w:val="-4"/>
          <w:sz w:val="28"/>
          <w:szCs w:val="28"/>
        </w:rPr>
        <w:t>1、专项资金安排落实、总投入等情况分析</w:t>
      </w:r>
      <w:bookmarkEnd w:id="16"/>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2021年预算安排专项资金</w:t>
      </w:r>
      <w:r>
        <w:rPr>
          <w:rStyle w:val="16"/>
          <w:rFonts w:hint="eastAsia" w:ascii="仿宋_GB2312" w:hAnsi="楷体" w:eastAsia="仿宋_GB2312" w:cs="Times New Roman"/>
          <w:b w:val="0"/>
          <w:spacing w:val="-4"/>
          <w:sz w:val="28"/>
          <w:szCs w:val="28"/>
          <w:lang w:val="en-US" w:eastAsia="zh-CN"/>
        </w:rPr>
        <w:t>0</w:t>
      </w:r>
      <w:r>
        <w:rPr>
          <w:rStyle w:val="16"/>
          <w:rFonts w:hint="eastAsia" w:ascii="仿宋_GB2312" w:hAnsi="楷体" w:eastAsia="仿宋_GB2312" w:cs="Times New Roman"/>
          <w:b w:val="0"/>
          <w:spacing w:val="-4"/>
          <w:sz w:val="28"/>
          <w:szCs w:val="28"/>
        </w:rPr>
        <w:t>万元，实际到位</w:t>
      </w:r>
      <w:r>
        <w:rPr>
          <w:rStyle w:val="16"/>
          <w:rFonts w:hint="eastAsia" w:ascii="仿宋_GB2312" w:hAnsi="楷体" w:eastAsia="仿宋_GB2312" w:cs="Times New Roman"/>
          <w:b w:val="0"/>
          <w:spacing w:val="-4"/>
          <w:sz w:val="28"/>
          <w:szCs w:val="28"/>
          <w:lang w:val="en-US" w:eastAsia="zh-CN"/>
        </w:rPr>
        <w:t>0</w:t>
      </w:r>
      <w:r>
        <w:rPr>
          <w:rStyle w:val="16"/>
          <w:rFonts w:hint="eastAsia" w:ascii="仿宋_GB2312" w:hAnsi="楷体" w:eastAsia="仿宋_GB2312" w:cs="Times New Roman"/>
          <w:b w:val="0"/>
          <w:spacing w:val="-4"/>
          <w:sz w:val="28"/>
          <w:szCs w:val="28"/>
        </w:rPr>
        <w:t>万元, 到位率</w:t>
      </w:r>
      <w:r>
        <w:rPr>
          <w:rStyle w:val="16"/>
          <w:rFonts w:hint="eastAsia" w:ascii="仿宋_GB2312" w:hAnsi="楷体" w:eastAsia="仿宋_GB2312" w:cs="Times New Roman"/>
          <w:b w:val="0"/>
          <w:spacing w:val="-4"/>
          <w:sz w:val="28"/>
          <w:szCs w:val="28"/>
          <w:lang w:val="en-US" w:eastAsia="zh-CN"/>
        </w:rPr>
        <w:t>0</w:t>
      </w:r>
      <w:r>
        <w:rPr>
          <w:rStyle w:val="16"/>
          <w:rFonts w:hint="eastAsia" w:ascii="仿宋_GB2312" w:hAnsi="楷体" w:eastAsia="仿宋_GB2312" w:cs="Times New Roman"/>
          <w:b w:val="0"/>
          <w:spacing w:val="-4"/>
          <w:sz w:val="28"/>
          <w:szCs w:val="28"/>
        </w:rPr>
        <w:t>％,其中:中央转移支付项目资金</w:t>
      </w:r>
      <w:r>
        <w:rPr>
          <w:rStyle w:val="16"/>
          <w:rFonts w:hint="eastAsia" w:ascii="仿宋_GB2312" w:hAnsi="楷体" w:eastAsia="仿宋_GB2312" w:cs="Times New Roman"/>
          <w:b w:val="0"/>
          <w:spacing w:val="-4"/>
          <w:sz w:val="28"/>
          <w:szCs w:val="28"/>
          <w:lang w:val="en-US" w:eastAsia="zh-CN"/>
        </w:rPr>
        <w:t>0</w:t>
      </w:r>
      <w:r>
        <w:rPr>
          <w:rStyle w:val="16"/>
          <w:rFonts w:hint="eastAsia" w:ascii="仿宋_GB2312" w:hAnsi="楷体" w:eastAsia="仿宋_GB2312" w:cs="Times New Roman"/>
          <w:b w:val="0"/>
          <w:spacing w:val="-4"/>
          <w:sz w:val="28"/>
          <w:szCs w:val="28"/>
        </w:rPr>
        <w:t>万元，自治区资金</w:t>
      </w:r>
      <w:r>
        <w:rPr>
          <w:rStyle w:val="16"/>
          <w:rFonts w:hint="eastAsia" w:ascii="仿宋_GB2312" w:hAnsi="楷体" w:eastAsia="仿宋_GB2312" w:cs="Times New Roman"/>
          <w:b w:val="0"/>
          <w:spacing w:val="-4"/>
          <w:sz w:val="28"/>
          <w:szCs w:val="28"/>
          <w:lang w:val="en-US" w:eastAsia="zh-CN"/>
        </w:rPr>
        <w:t>0</w:t>
      </w:r>
      <w:r>
        <w:rPr>
          <w:rStyle w:val="16"/>
          <w:rFonts w:hint="eastAsia" w:ascii="仿宋_GB2312" w:hAnsi="楷体" w:eastAsia="仿宋_GB2312" w:cs="Times New Roman"/>
          <w:b w:val="0"/>
          <w:spacing w:val="-4"/>
          <w:sz w:val="28"/>
          <w:szCs w:val="28"/>
        </w:rPr>
        <w:t>万元，本级安排0万元。</w:t>
      </w:r>
    </w:p>
    <w:p>
      <w:pPr>
        <w:pStyle w:val="5"/>
        <w:spacing w:line="360" w:lineRule="auto"/>
        <w:ind w:firstLine="562" w:firstLineChars="200"/>
        <w:rPr>
          <w:rStyle w:val="16"/>
          <w:rFonts w:ascii="仿宋" w:hAnsi="仿宋" w:eastAsia="仿宋"/>
          <w:b/>
          <w:bCs/>
        </w:rPr>
      </w:pPr>
      <w:bookmarkStart w:id="17" w:name="_Toc70450304"/>
      <w:r>
        <w:rPr>
          <w:rStyle w:val="16"/>
          <w:rFonts w:hint="eastAsia" w:ascii="仿宋" w:hAnsi="仿宋" w:eastAsia="仿宋"/>
          <w:b/>
          <w:bCs/>
        </w:rPr>
        <w:t>2、专项资金实际使用情况</w:t>
      </w:r>
      <w:bookmarkEnd w:id="17"/>
    </w:p>
    <w:p>
      <w:pPr>
        <w:spacing w:line="360" w:lineRule="auto"/>
        <w:ind w:firstLine="544" w:firstLineChars="200"/>
        <w:rPr>
          <w:rStyle w:val="16"/>
          <w:rFonts w:ascii="仿宋_GB2312" w:hAnsi="楷体" w:eastAsia="仿宋_GB2312" w:cs="Times New Roman"/>
          <w:b w:val="0"/>
          <w:spacing w:val="-4"/>
          <w:sz w:val="28"/>
          <w:szCs w:val="28"/>
          <w:highlight w:val="none"/>
        </w:rPr>
      </w:pPr>
      <w:bookmarkStart w:id="33" w:name="_GoBack"/>
      <w:r>
        <w:rPr>
          <w:rStyle w:val="16"/>
          <w:rFonts w:hint="eastAsia" w:ascii="仿宋_GB2312" w:hAnsi="楷体" w:eastAsia="仿宋_GB2312" w:cs="Times New Roman"/>
          <w:b w:val="0"/>
          <w:spacing w:val="-4"/>
          <w:sz w:val="28"/>
          <w:szCs w:val="28"/>
          <w:highlight w:val="none"/>
        </w:rPr>
        <w:t>2021年专项资金支出</w:t>
      </w:r>
      <w:r>
        <w:rPr>
          <w:rStyle w:val="16"/>
          <w:rFonts w:hint="eastAsia" w:ascii="仿宋_GB2312" w:hAnsi="楷体" w:eastAsia="仿宋_GB2312" w:cs="Times New Roman"/>
          <w:b w:val="0"/>
          <w:spacing w:val="-4"/>
          <w:sz w:val="28"/>
          <w:szCs w:val="28"/>
          <w:highlight w:val="none"/>
          <w:lang w:val="en-US" w:eastAsia="zh-CN"/>
        </w:rPr>
        <w:t>0</w:t>
      </w:r>
      <w:r>
        <w:rPr>
          <w:rStyle w:val="16"/>
          <w:rFonts w:hint="eastAsia" w:ascii="仿宋_GB2312" w:hAnsi="楷体" w:eastAsia="仿宋_GB2312" w:cs="Times New Roman"/>
          <w:b w:val="0"/>
          <w:spacing w:val="-4"/>
          <w:sz w:val="28"/>
          <w:szCs w:val="28"/>
          <w:highlight w:val="none"/>
        </w:rPr>
        <w:t>万元，占总支出的</w:t>
      </w:r>
      <w:r>
        <w:rPr>
          <w:rStyle w:val="16"/>
          <w:rFonts w:hint="eastAsia" w:ascii="仿宋_GB2312" w:hAnsi="楷体" w:eastAsia="仿宋_GB2312" w:cs="Times New Roman"/>
          <w:b w:val="0"/>
          <w:spacing w:val="-4"/>
          <w:sz w:val="28"/>
          <w:szCs w:val="28"/>
          <w:highlight w:val="none"/>
          <w:lang w:val="en-US" w:eastAsia="zh-CN"/>
        </w:rPr>
        <w:t>0</w:t>
      </w:r>
      <w:r>
        <w:rPr>
          <w:rStyle w:val="16"/>
          <w:rFonts w:hint="eastAsia" w:ascii="仿宋_GB2312" w:hAnsi="楷体" w:eastAsia="仿宋_GB2312" w:cs="Times New Roman"/>
          <w:b w:val="0"/>
          <w:spacing w:val="-4"/>
          <w:sz w:val="28"/>
          <w:szCs w:val="28"/>
          <w:highlight w:val="none"/>
        </w:rPr>
        <w:t>%，其中2021年专项项目支出比上年</w:t>
      </w:r>
      <w:r>
        <w:rPr>
          <w:rStyle w:val="16"/>
          <w:rFonts w:hint="eastAsia" w:ascii="仿宋_GB2312" w:hAnsi="楷体" w:eastAsia="仿宋_GB2312" w:cs="Times New Roman"/>
          <w:b w:val="0"/>
          <w:spacing w:val="-4"/>
          <w:sz w:val="28"/>
          <w:szCs w:val="28"/>
          <w:highlight w:val="none"/>
          <w:lang w:val="en-US" w:eastAsia="zh-CN"/>
        </w:rPr>
        <w:t>0</w:t>
      </w:r>
      <w:r>
        <w:rPr>
          <w:rStyle w:val="16"/>
          <w:rFonts w:hint="eastAsia" w:ascii="仿宋_GB2312" w:hAnsi="楷体" w:eastAsia="仿宋_GB2312" w:cs="Times New Roman"/>
          <w:b w:val="0"/>
          <w:spacing w:val="-4"/>
          <w:sz w:val="28"/>
          <w:szCs w:val="28"/>
          <w:highlight w:val="none"/>
        </w:rPr>
        <w:t>万元增加</w:t>
      </w:r>
      <w:r>
        <w:rPr>
          <w:rStyle w:val="16"/>
          <w:rFonts w:hint="eastAsia" w:ascii="仿宋_GB2312" w:hAnsi="楷体" w:eastAsia="仿宋_GB2312" w:cs="Times New Roman"/>
          <w:b w:val="0"/>
          <w:spacing w:val="-4"/>
          <w:sz w:val="28"/>
          <w:szCs w:val="28"/>
          <w:highlight w:val="none"/>
          <w:lang w:val="en-US" w:eastAsia="zh-CN"/>
        </w:rPr>
        <w:t>0</w:t>
      </w:r>
      <w:r>
        <w:rPr>
          <w:rStyle w:val="16"/>
          <w:rFonts w:hint="eastAsia" w:ascii="仿宋_GB2312" w:hAnsi="楷体" w:eastAsia="仿宋_GB2312" w:cs="Times New Roman"/>
          <w:b w:val="0"/>
          <w:spacing w:val="-4"/>
          <w:sz w:val="28"/>
          <w:szCs w:val="28"/>
          <w:highlight w:val="none"/>
        </w:rPr>
        <w:t>万元，上升</w:t>
      </w:r>
      <w:r>
        <w:rPr>
          <w:rStyle w:val="16"/>
          <w:rFonts w:hint="eastAsia" w:ascii="仿宋_GB2312" w:hAnsi="楷体" w:eastAsia="仿宋_GB2312" w:cs="Times New Roman"/>
          <w:b w:val="0"/>
          <w:spacing w:val="-4"/>
          <w:sz w:val="28"/>
          <w:szCs w:val="28"/>
          <w:highlight w:val="none"/>
          <w:lang w:val="en-US" w:eastAsia="zh-CN"/>
        </w:rPr>
        <w:t>0</w:t>
      </w:r>
      <w:r>
        <w:rPr>
          <w:rStyle w:val="16"/>
          <w:rFonts w:hint="eastAsia" w:ascii="仿宋_GB2312" w:hAnsi="楷体" w:eastAsia="仿宋_GB2312" w:cs="Times New Roman"/>
          <w:b w:val="0"/>
          <w:spacing w:val="-4"/>
          <w:sz w:val="28"/>
          <w:szCs w:val="28"/>
          <w:highlight w:val="none"/>
        </w:rPr>
        <w:t xml:space="preserve"> %。支出上升的主要原因是：2021年学生人数增加。</w:t>
      </w:r>
    </w:p>
    <w:bookmarkEnd w:id="33"/>
    <w:p>
      <w:pPr>
        <w:pStyle w:val="5"/>
        <w:spacing w:line="360" w:lineRule="auto"/>
        <w:ind w:firstLine="562" w:firstLineChars="200"/>
        <w:rPr>
          <w:rStyle w:val="16"/>
          <w:rFonts w:ascii="仿宋" w:hAnsi="仿宋" w:eastAsia="仿宋"/>
          <w:b/>
          <w:bCs/>
        </w:rPr>
      </w:pPr>
      <w:bookmarkStart w:id="18" w:name="_Toc70450305"/>
      <w:r>
        <w:rPr>
          <w:rStyle w:val="16"/>
          <w:rFonts w:hint="eastAsia" w:ascii="仿宋" w:hAnsi="仿宋" w:eastAsia="仿宋"/>
          <w:b/>
          <w:bCs/>
        </w:rPr>
        <w:t>3、专项资金管理情况</w:t>
      </w:r>
      <w:bookmarkEnd w:id="18"/>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为规范专项资金使用，提高专项资金使用效益，我单位主要采取四项措施。</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700" w:lineRule="exact"/>
        <w:ind w:firstLine="641" w:firstLineChars="236"/>
        <w:jc w:val="left"/>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制定了特克斯县职业技术学校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）建立特克斯县职业技术学校专项资金专帐，做到有据可依，有据可查。</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（3）制订了特克斯县职业技术学校项目实施方案，确保项目顺利进行。</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（4）认真组织特克斯县职业技术学校项目验收，确保项目顺利进行。</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专项资金涉及政府采购项目的，按照局《呼吉尔特蒙古民族乡托斯曼小学采购与招标管理办法》组织人员制定采购计划，按照财政局采购部门批复，进行公开招标、邀请招标等方式进行。</w:t>
      </w:r>
    </w:p>
    <w:p>
      <w:pPr>
        <w:rPr>
          <w:rFonts w:hint="eastAsia"/>
        </w:rPr>
      </w:pPr>
    </w:p>
    <w:p>
      <w:pPr>
        <w:pStyle w:val="3"/>
        <w:numPr>
          <w:ilvl w:val="0"/>
          <w:numId w:val="1"/>
        </w:numPr>
        <w:spacing w:line="360" w:lineRule="auto"/>
        <w:rPr>
          <w:rFonts w:ascii="仿宋" w:hAnsi="仿宋" w:eastAsia="仿宋"/>
          <w:sz w:val="36"/>
          <w:szCs w:val="36"/>
          <w:lang w:bidi="ar"/>
        </w:rPr>
      </w:pPr>
      <w:bookmarkStart w:id="19" w:name="_Toc70450306"/>
      <w:r>
        <w:rPr>
          <w:rFonts w:hint="eastAsia" w:ascii="仿宋" w:hAnsi="仿宋" w:eastAsia="仿宋"/>
          <w:sz w:val="36"/>
          <w:szCs w:val="36"/>
          <w:lang w:bidi="ar"/>
        </w:rPr>
        <w:t>部门单位专项组织实施情况</w:t>
      </w:r>
      <w:bookmarkEnd w:id="19"/>
    </w:p>
    <w:p>
      <w:pPr>
        <w:pStyle w:val="3"/>
        <w:spacing w:line="360" w:lineRule="auto"/>
        <w:rPr>
          <w:rStyle w:val="16"/>
          <w:rFonts w:hint="eastAsia" w:ascii="仿宋_GB2312" w:hAnsi="楷体" w:eastAsia="仿宋_GB2312" w:cs="Times New Roman"/>
          <w:b w:val="0"/>
          <w:bCs/>
          <w:spacing w:val="-4"/>
          <w:kern w:val="2"/>
          <w:sz w:val="28"/>
          <w:szCs w:val="28"/>
          <w:lang w:val="en-US" w:eastAsia="zh-CN" w:bidi="ar-SA"/>
        </w:rPr>
      </w:pPr>
      <w:bookmarkStart w:id="20" w:name="_Toc70450310"/>
      <w:r>
        <w:rPr>
          <w:rStyle w:val="16"/>
          <w:rFonts w:hint="eastAsia" w:ascii="仿宋_GB2312" w:hAnsi="楷体" w:eastAsia="仿宋_GB2312" w:cs="Times New Roman"/>
          <w:b w:val="0"/>
          <w:bCs/>
          <w:spacing w:val="-4"/>
          <w:kern w:val="2"/>
          <w:sz w:val="28"/>
          <w:szCs w:val="28"/>
          <w:lang w:val="en-US" w:eastAsia="zh-CN" w:bidi="ar-SA"/>
        </w:rPr>
        <w:t>本单位2021年度未安排项目支出预算</w:t>
      </w:r>
    </w:p>
    <w:p>
      <w:pPr>
        <w:pStyle w:val="3"/>
        <w:spacing w:line="360" w:lineRule="auto"/>
        <w:rPr>
          <w:rFonts w:ascii="仿宋" w:hAnsi="仿宋" w:eastAsia="仿宋"/>
          <w:sz w:val="36"/>
          <w:szCs w:val="36"/>
          <w:lang w:bidi="ar"/>
        </w:rPr>
      </w:pPr>
      <w:r>
        <w:rPr>
          <w:rFonts w:hint="eastAsia" w:ascii="仿宋" w:hAnsi="仿宋" w:eastAsia="仿宋"/>
          <w:sz w:val="36"/>
          <w:szCs w:val="36"/>
          <w:lang w:bidi="ar"/>
        </w:rPr>
        <w:t>四、资产管理情况</w:t>
      </w:r>
      <w:bookmarkEnd w:id="20"/>
    </w:p>
    <w:p>
      <w:pPr>
        <w:pStyle w:val="4"/>
        <w:spacing w:line="360" w:lineRule="auto"/>
        <w:rPr>
          <w:rStyle w:val="16"/>
          <w:rFonts w:ascii="仿宋" w:hAnsi="仿宋" w:eastAsia="仿宋"/>
          <w:b/>
          <w:bCs/>
        </w:rPr>
      </w:pPr>
      <w:bookmarkStart w:id="21" w:name="_Toc70450311"/>
      <w:r>
        <w:rPr>
          <w:rStyle w:val="16"/>
          <w:rFonts w:hint="eastAsia" w:ascii="仿宋" w:hAnsi="仿宋" w:eastAsia="仿宋"/>
          <w:b/>
          <w:bCs/>
        </w:rPr>
        <w:t>（一）资产配置情况</w:t>
      </w:r>
      <w:bookmarkEnd w:id="21"/>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2021年特克斯县职业技术学校资产总额1565.31万元，其中流动资产   0万元，固定资产净值1167.91万元（其中：土地、房屋及构筑物1075.35万元，占固定资产净值的92.07%；通用设备43.21万元，占固定资产净值的3.7%；专用设备16.13万元，占固定资产净值的1.38%；其他）。</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本年度流动资产0万元，比上年增加0万元，原因是：2021年度我单位无流动资产 。</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 xml:space="preserve">本年度固定资产1565.31万元，比上年增加1112.85万元，原因是：党校资产划拨增加。    </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实际在用固定资产1565.31万元，固定资产利用率100%。</w:t>
      </w:r>
    </w:p>
    <w:p>
      <w:pPr>
        <w:pStyle w:val="4"/>
        <w:spacing w:line="360" w:lineRule="auto"/>
        <w:rPr>
          <w:rStyle w:val="16"/>
          <w:rFonts w:hint="eastAsia" w:ascii="仿宋" w:hAnsi="仿宋" w:eastAsia="仿宋"/>
          <w:b/>
          <w:bCs/>
        </w:rPr>
      </w:pPr>
      <w:bookmarkStart w:id="22" w:name="_Toc70450312"/>
      <w:r>
        <w:rPr>
          <w:rStyle w:val="16"/>
          <w:rFonts w:hint="eastAsia" w:ascii="仿宋" w:hAnsi="仿宋" w:eastAsia="仿宋"/>
          <w:b/>
          <w:bCs/>
        </w:rPr>
        <w:t>（二）资产管理情况</w:t>
      </w:r>
      <w:bookmarkEnd w:id="22"/>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3"/>
        <w:spacing w:line="360" w:lineRule="auto"/>
        <w:rPr>
          <w:rFonts w:ascii="仿宋" w:hAnsi="仿宋" w:eastAsia="仿宋"/>
          <w:sz w:val="36"/>
          <w:szCs w:val="36"/>
          <w:lang w:bidi="ar"/>
        </w:rPr>
      </w:pPr>
      <w:bookmarkStart w:id="23" w:name="_Toc70450313"/>
      <w:r>
        <w:rPr>
          <w:rFonts w:hint="eastAsia" w:ascii="仿宋" w:hAnsi="仿宋" w:eastAsia="仿宋"/>
          <w:sz w:val="36"/>
          <w:szCs w:val="36"/>
          <w:lang w:bidi="ar"/>
        </w:rPr>
        <w:t>五、部门单位整体支出绩效情况</w:t>
      </w:r>
      <w:bookmarkEnd w:id="23"/>
    </w:p>
    <w:p>
      <w:pPr>
        <w:pStyle w:val="4"/>
        <w:spacing w:line="360" w:lineRule="auto"/>
        <w:ind w:firstLine="643" w:firstLineChars="200"/>
        <w:rPr>
          <w:rStyle w:val="16"/>
          <w:rFonts w:ascii="仿宋" w:hAnsi="仿宋" w:eastAsia="仿宋"/>
          <w:b/>
          <w:bCs/>
        </w:rPr>
      </w:pPr>
      <w:bookmarkStart w:id="24" w:name="_Toc70450314"/>
      <w:r>
        <w:rPr>
          <w:rStyle w:val="16"/>
          <w:rFonts w:hint="eastAsia" w:ascii="仿宋" w:hAnsi="仿宋" w:eastAsia="仿宋"/>
          <w:b/>
          <w:bCs/>
        </w:rPr>
        <w:t>（一）经济效益评价</w:t>
      </w:r>
      <w:bookmarkEnd w:id="24"/>
    </w:p>
    <w:p>
      <w:pPr>
        <w:spacing w:line="360" w:lineRule="auto"/>
        <w:ind w:firstLine="544" w:firstLineChars="200"/>
        <w:rPr>
          <w:rStyle w:val="16"/>
          <w:rFonts w:ascii="仿宋_GB2312" w:hAnsi="楷体" w:eastAsia="仿宋_GB2312" w:cs="Times New Roman"/>
          <w:b w:val="0"/>
          <w:spacing w:val="-4"/>
          <w:sz w:val="28"/>
          <w:szCs w:val="28"/>
          <w:highlight w:val="none"/>
        </w:rPr>
      </w:pPr>
      <w:r>
        <w:rPr>
          <w:rStyle w:val="16"/>
          <w:rFonts w:hint="eastAsia" w:ascii="仿宋_GB2312" w:hAnsi="宋体" w:eastAsia="仿宋_GB2312"/>
          <w:b w:val="0"/>
          <w:bCs w:val="0"/>
          <w:spacing w:val="-4"/>
          <w:sz w:val="28"/>
          <w:szCs w:val="28"/>
        </w:rPr>
        <w:t>202x年度我单位年初预算安排</w:t>
      </w:r>
      <w:r>
        <w:rPr>
          <w:rStyle w:val="16"/>
          <w:rFonts w:hint="eastAsia" w:ascii="仿宋_GB2312" w:hAnsi="宋体" w:eastAsia="仿宋_GB2312"/>
          <w:b w:val="0"/>
          <w:bCs w:val="0"/>
          <w:spacing w:val="-4"/>
          <w:sz w:val="28"/>
          <w:szCs w:val="28"/>
          <w:highlight w:val="none"/>
          <w:lang w:val="en-US" w:eastAsia="zh-CN"/>
        </w:rPr>
        <w:t>878.04</w:t>
      </w:r>
      <w:r>
        <w:rPr>
          <w:rStyle w:val="16"/>
          <w:rFonts w:hint="eastAsia" w:ascii="仿宋_GB2312" w:hAnsi="宋体" w:eastAsia="仿宋_GB2312"/>
          <w:b w:val="0"/>
          <w:bCs w:val="0"/>
          <w:spacing w:val="-4"/>
          <w:sz w:val="28"/>
          <w:szCs w:val="28"/>
          <w:highlight w:val="none"/>
        </w:rPr>
        <w:t>万元，年中调整</w:t>
      </w:r>
      <w:r>
        <w:rPr>
          <w:rStyle w:val="16"/>
          <w:rFonts w:hint="eastAsia" w:ascii="仿宋_GB2312" w:hAnsi="宋体" w:eastAsia="仿宋_GB2312"/>
          <w:b w:val="0"/>
          <w:bCs w:val="0"/>
          <w:spacing w:val="-4"/>
          <w:sz w:val="28"/>
          <w:szCs w:val="28"/>
          <w:highlight w:val="none"/>
          <w:lang w:val="en-US" w:eastAsia="zh-CN"/>
        </w:rPr>
        <w:t>471.31</w:t>
      </w:r>
      <w:r>
        <w:rPr>
          <w:rStyle w:val="16"/>
          <w:rFonts w:hint="eastAsia" w:ascii="仿宋_GB2312" w:hAnsi="宋体" w:eastAsia="仿宋_GB2312"/>
          <w:b w:val="0"/>
          <w:bCs w:val="0"/>
          <w:spacing w:val="-4"/>
          <w:sz w:val="28"/>
          <w:szCs w:val="28"/>
          <w:highlight w:val="none"/>
        </w:rPr>
        <w:t>万元，截止12月底支出</w:t>
      </w:r>
      <w:r>
        <w:rPr>
          <w:rStyle w:val="16"/>
          <w:rFonts w:hint="eastAsia" w:ascii="仿宋_GB2312" w:hAnsi="宋体" w:eastAsia="仿宋_GB2312"/>
          <w:b w:val="0"/>
          <w:bCs w:val="0"/>
          <w:spacing w:val="-4"/>
          <w:sz w:val="28"/>
          <w:szCs w:val="28"/>
          <w:highlight w:val="none"/>
          <w:lang w:val="en-US" w:eastAsia="zh-CN"/>
        </w:rPr>
        <w:t>1349.35</w:t>
      </w:r>
      <w:r>
        <w:rPr>
          <w:rStyle w:val="16"/>
          <w:rFonts w:hint="eastAsia" w:ascii="仿宋_GB2312" w:hAnsi="宋体" w:eastAsia="仿宋_GB2312"/>
          <w:b w:val="0"/>
          <w:bCs w:val="0"/>
          <w:spacing w:val="-4"/>
          <w:sz w:val="28"/>
          <w:szCs w:val="28"/>
          <w:highlight w:val="none"/>
        </w:rPr>
        <w:t>万元，执行率</w:t>
      </w:r>
      <w:r>
        <w:rPr>
          <w:rStyle w:val="16"/>
          <w:rFonts w:hint="eastAsia" w:ascii="仿宋_GB2312" w:hAnsi="宋体" w:eastAsia="仿宋_GB2312"/>
          <w:b w:val="0"/>
          <w:bCs w:val="0"/>
          <w:spacing w:val="-4"/>
          <w:sz w:val="28"/>
          <w:szCs w:val="28"/>
          <w:highlight w:val="none"/>
          <w:lang w:val="en-US" w:eastAsia="zh-CN"/>
        </w:rPr>
        <w:t>100</w:t>
      </w:r>
      <w:r>
        <w:rPr>
          <w:rStyle w:val="16"/>
          <w:rFonts w:hint="eastAsia" w:ascii="仿宋_GB2312" w:hAnsi="宋体" w:eastAsia="仿宋_GB2312"/>
          <w:b w:val="0"/>
          <w:bCs w:val="0"/>
          <w:spacing w:val="-4"/>
          <w:sz w:val="28"/>
          <w:szCs w:val="28"/>
          <w:highlight w:val="none"/>
        </w:rPr>
        <w:t>%。</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1、预算资金执行过程中均按照年初预算分配情况均做到专款专用，未出现资金侵、挪占情况。</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2、全年按照部门预算进行成本控制，全部控制在厉行节约指标数内。其他支出按财政部门下达的计划实施，全年没有项目超支。</w:t>
      </w:r>
    </w:p>
    <w:p>
      <w:pPr>
        <w:pStyle w:val="4"/>
        <w:spacing w:line="360" w:lineRule="auto"/>
        <w:ind w:firstLine="643" w:firstLineChars="200"/>
        <w:rPr>
          <w:rStyle w:val="16"/>
          <w:rFonts w:ascii="仿宋" w:hAnsi="仿宋" w:eastAsia="仿宋"/>
          <w:b/>
          <w:bCs/>
        </w:rPr>
      </w:pPr>
      <w:bookmarkStart w:id="25" w:name="_Toc70450315"/>
      <w:r>
        <w:rPr>
          <w:rStyle w:val="16"/>
          <w:rFonts w:hint="eastAsia" w:ascii="仿宋" w:hAnsi="仿宋" w:eastAsia="仿宋"/>
          <w:b/>
          <w:bCs/>
        </w:rPr>
        <w:t>（二）效率性评价</w:t>
      </w:r>
      <w:bookmarkEnd w:id="25"/>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b w:val="0"/>
          <w:spacing w:val="-4"/>
          <w:sz w:val="28"/>
          <w:szCs w:val="28"/>
        </w:rPr>
        <w:t>2</w:t>
      </w:r>
      <w:r>
        <w:rPr>
          <w:rStyle w:val="16"/>
          <w:rFonts w:hint="eastAsia" w:ascii="仿宋_GB2312" w:hAnsi="楷体" w:eastAsia="仿宋_GB2312" w:cs="Times New Roman"/>
          <w:b w:val="0"/>
          <w:spacing w:val="-4"/>
          <w:sz w:val="28"/>
          <w:szCs w:val="28"/>
        </w:rPr>
        <w:t>021年，在特克斯县人民政府的大力支持和教育局党委的正确领导下，特克斯县职业技术学校迎难而上、务实重干，积极推动各项教育工作取得了新的进展，为促进经济持续健康发展与社会和谐稳定提供了有力的教育支撑和保障。</w:t>
      </w:r>
    </w:p>
    <w:p>
      <w:pPr>
        <w:numPr>
          <w:ilvl w:val="0"/>
          <w:numId w:val="2"/>
        </w:numPr>
        <w:spacing w:line="360" w:lineRule="auto"/>
        <w:ind w:firstLine="544" w:firstLineChars="200"/>
        <w:rPr>
          <w:rStyle w:val="16"/>
          <w:rFonts w:ascii="仿宋_GB2312" w:hAnsi="楷体" w:eastAsia="仿宋_GB2312"/>
          <w:b w:val="0"/>
          <w:spacing w:val="-4"/>
          <w:sz w:val="28"/>
          <w:szCs w:val="28"/>
          <w:highlight w:val="none"/>
        </w:rPr>
      </w:pPr>
      <w:bookmarkStart w:id="26" w:name="_Toc70450316"/>
      <w:r>
        <w:rPr>
          <w:rStyle w:val="16"/>
          <w:rFonts w:hint="eastAsia" w:ascii="仿宋_GB2312" w:hAnsi="楷体" w:eastAsia="仿宋_GB2312"/>
          <w:b w:val="0"/>
          <w:spacing w:val="-4"/>
          <w:sz w:val="28"/>
          <w:szCs w:val="28"/>
          <w:highlight w:val="none"/>
        </w:rPr>
        <w:t>圆满完成教学任务工作</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宋体" w:eastAsia="仿宋_GB2312"/>
          <w:b w:val="0"/>
          <w:bCs w:val="0"/>
          <w:spacing w:val="-4"/>
          <w:sz w:val="28"/>
          <w:szCs w:val="28"/>
          <w:highlight w:val="none"/>
        </w:rPr>
        <w:t>根据国家教育方针，严格按照上级主管部门教育教学规定，根据学校自己情况制定教育教学计划，年末圆满完成教育教学任务。</w:t>
      </w:r>
    </w:p>
    <w:p>
      <w:pPr>
        <w:numPr>
          <w:ilvl w:val="0"/>
          <w:numId w:val="2"/>
        </w:num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教育教学任务提前完成</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根据本单位教育教学任务，随时做好调整教育教学准备，加强课程实施监测和日常教学监督管理，进一步规范教学管理，提前完成本学期教学任务。</w:t>
      </w:r>
    </w:p>
    <w:p>
      <w:pPr>
        <w:numPr>
          <w:ilvl w:val="0"/>
          <w:numId w:val="2"/>
        </w:num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教师满意度和家长满意度成效显著</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楷体" w:eastAsia="仿宋_GB2312"/>
          <w:b w:val="0"/>
          <w:spacing w:val="-4"/>
          <w:sz w:val="28"/>
          <w:szCs w:val="28"/>
          <w:highlight w:val="none"/>
        </w:rPr>
        <w:t>教师满意度：</w:t>
      </w:r>
      <w:r>
        <w:rPr>
          <w:rStyle w:val="16"/>
          <w:rFonts w:hint="eastAsia" w:ascii="仿宋_GB2312" w:hAnsi="宋体" w:eastAsia="仿宋_GB2312"/>
          <w:b w:val="0"/>
          <w:bCs w:val="0"/>
          <w:spacing w:val="-4"/>
          <w:sz w:val="28"/>
          <w:szCs w:val="28"/>
          <w:highlight w:val="none"/>
        </w:rPr>
        <w:t>学校在评优树先的方面方案科学合理，体现公平公正的原则，能充分调动每一位教职工的积极性。</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学校建立科学的考核机制，管理到位。</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楷体" w:eastAsia="仿宋_GB2312"/>
          <w:b w:val="0"/>
          <w:spacing w:val="-4"/>
          <w:sz w:val="28"/>
          <w:szCs w:val="28"/>
          <w:highlight w:val="none"/>
        </w:rPr>
        <w:t>家长满意度：</w:t>
      </w:r>
      <w:r>
        <w:rPr>
          <w:rStyle w:val="16"/>
          <w:rFonts w:hint="eastAsia" w:ascii="仿宋_GB2312" w:hAnsi="宋体" w:eastAsia="仿宋_GB2312"/>
          <w:b w:val="0"/>
          <w:bCs w:val="0"/>
          <w:spacing w:val="-4"/>
          <w:sz w:val="28"/>
          <w:szCs w:val="28"/>
          <w:highlight w:val="none"/>
        </w:rPr>
        <w:t>家长认为学校学风教风好，教师师德好。</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教师能够爱岗敬业，忠于党的教育事业，关心关爱学生。</w:t>
      </w:r>
    </w:p>
    <w:p>
      <w:pPr>
        <w:pStyle w:val="20"/>
        <w:tabs>
          <w:tab w:val="left" w:pos="312"/>
        </w:tabs>
        <w:spacing w:line="360" w:lineRule="auto"/>
        <w:ind w:left="544" w:firstLine="0" w:firstLineChars="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4、教育教学全面达标，群众满意度高。</w:t>
      </w:r>
    </w:p>
    <w:p>
      <w:pPr>
        <w:pStyle w:val="4"/>
        <w:spacing w:line="360" w:lineRule="auto"/>
        <w:ind w:firstLine="643" w:firstLineChars="200"/>
        <w:rPr>
          <w:rStyle w:val="16"/>
          <w:rFonts w:ascii="仿宋" w:hAnsi="仿宋" w:eastAsia="仿宋"/>
          <w:b/>
          <w:bCs/>
        </w:rPr>
      </w:pPr>
      <w:r>
        <w:rPr>
          <w:rStyle w:val="16"/>
          <w:rFonts w:hint="eastAsia" w:ascii="仿宋" w:hAnsi="仿宋" w:eastAsia="仿宋"/>
          <w:b/>
          <w:bCs/>
        </w:rPr>
        <w:t>（三）有效性评价</w:t>
      </w:r>
      <w:bookmarkEnd w:id="26"/>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特克斯县职业技术学校基本经费中人员经费支出、公用支出严格执行政府的各项制度，保障全局工作正常运转，三公经费的使用严格控制在预算申报的范围内；在项目经费的使用上，在保证各项任务顺利完成的同时，严格落实厉行节约的原则。</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特克斯县职业技术学校整体绩效目标共设置一级指标3个，二级指标  7个，三级指标15个，详细说明如下</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1、数量指标：</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指标1：保障在职人员人数，指标值：=68人，实际完成值：68人，指标完成率100%；</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指标2：遗属补助人数，指标值：=5人，实际完成值：5人，指标完成率100%；</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指标3：保障公车数量，指标值：=1辆，实际完成值：1辆，指标完成率100%。</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指标4：资金发放准确率：=100%，实际完成值：100%，指标完成率100%。</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2、质量指标：</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指标1：资金发放准确率：=100%，实际完成值：100%，指标完成率100%。</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3、时效指标：</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指标1：资金发放及时性，=100%，实际完成值：100%，指标完成率100%；</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4、成本指标：</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指标1：保障人员人均支出标准，指标值：≤12.61万元/人/年，实际完成值：12.61万元/人/年，指标完成率</w:t>
      </w:r>
      <w:r>
        <w:rPr>
          <w:rStyle w:val="16"/>
          <w:rFonts w:ascii="仿宋_GB2312" w:hAnsi="楷体" w:eastAsia="仿宋_GB2312" w:cs="Times New Roman"/>
          <w:b w:val="0"/>
          <w:spacing w:val="-4"/>
          <w:sz w:val="28"/>
          <w:szCs w:val="28"/>
        </w:rPr>
        <w:t>100</w:t>
      </w:r>
      <w:r>
        <w:rPr>
          <w:rStyle w:val="16"/>
          <w:rFonts w:hint="eastAsia" w:ascii="仿宋_GB2312" w:hAnsi="楷体" w:eastAsia="仿宋_GB2312" w:cs="Times New Roman"/>
          <w:b w:val="0"/>
          <w:spacing w:val="-4"/>
          <w:sz w:val="28"/>
          <w:szCs w:val="28"/>
        </w:rPr>
        <w:t>%；</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指标2：退休人员计生奖励，指标值：≤1136元/人/年，实际完成值：</w:t>
      </w:r>
      <w:r>
        <w:rPr>
          <w:rStyle w:val="16"/>
          <w:rFonts w:ascii="仿宋_GB2312" w:hAnsi="楷体" w:eastAsia="仿宋_GB2312" w:cs="Times New Roman"/>
          <w:b w:val="0"/>
          <w:spacing w:val="-4"/>
          <w:sz w:val="28"/>
          <w:szCs w:val="28"/>
        </w:rPr>
        <w:t>1136</w:t>
      </w:r>
      <w:r>
        <w:rPr>
          <w:rStyle w:val="16"/>
          <w:rFonts w:hint="eastAsia" w:ascii="仿宋_GB2312" w:hAnsi="楷体" w:eastAsia="仿宋_GB2312" w:cs="Times New Roman"/>
          <w:b w:val="0"/>
          <w:spacing w:val="-4"/>
          <w:sz w:val="28"/>
          <w:szCs w:val="28"/>
        </w:rPr>
        <w:t>元/人/年，指标完成率1</w:t>
      </w:r>
      <w:r>
        <w:rPr>
          <w:rStyle w:val="16"/>
          <w:rFonts w:ascii="仿宋_GB2312" w:hAnsi="楷体" w:eastAsia="仿宋_GB2312" w:cs="Times New Roman"/>
          <w:b w:val="0"/>
          <w:spacing w:val="-4"/>
          <w:sz w:val="28"/>
          <w:szCs w:val="28"/>
        </w:rPr>
        <w:t>00</w:t>
      </w:r>
      <w:r>
        <w:rPr>
          <w:rStyle w:val="16"/>
          <w:rFonts w:hint="eastAsia" w:ascii="仿宋_GB2312" w:hAnsi="楷体" w:eastAsia="仿宋_GB2312" w:cs="Times New Roman"/>
          <w:b w:val="0"/>
          <w:spacing w:val="-4"/>
          <w:sz w:val="28"/>
          <w:szCs w:val="28"/>
        </w:rPr>
        <w:t>%；</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指标3：采暖补贴，指标值：≤1300元/人/年，实际完成值：=1300元/人/年，指标完成率100%；</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指标4：遗属补助，指标值：≤4440元/人/年，实际完成值：</w:t>
      </w:r>
      <w:r>
        <w:rPr>
          <w:rStyle w:val="16"/>
          <w:rFonts w:ascii="仿宋_GB2312" w:hAnsi="楷体" w:eastAsia="仿宋_GB2312" w:cs="Times New Roman"/>
          <w:b w:val="0"/>
          <w:spacing w:val="-4"/>
          <w:sz w:val="28"/>
          <w:szCs w:val="28"/>
        </w:rPr>
        <w:t>4440</w:t>
      </w:r>
      <w:r>
        <w:rPr>
          <w:rStyle w:val="16"/>
          <w:rFonts w:hint="eastAsia" w:ascii="仿宋_GB2312" w:hAnsi="楷体" w:eastAsia="仿宋_GB2312" w:cs="Times New Roman"/>
          <w:b w:val="0"/>
          <w:spacing w:val="-4"/>
          <w:sz w:val="28"/>
          <w:szCs w:val="28"/>
        </w:rPr>
        <w:t>元/人/年，指标完成率</w:t>
      </w:r>
      <w:r>
        <w:rPr>
          <w:rStyle w:val="16"/>
          <w:rFonts w:ascii="仿宋_GB2312" w:hAnsi="楷体" w:eastAsia="仿宋_GB2312" w:cs="Times New Roman"/>
          <w:b w:val="0"/>
          <w:spacing w:val="-4"/>
          <w:sz w:val="28"/>
          <w:szCs w:val="28"/>
        </w:rPr>
        <w:t>100</w:t>
      </w:r>
      <w:r>
        <w:rPr>
          <w:rStyle w:val="16"/>
          <w:rFonts w:hint="eastAsia" w:ascii="仿宋_GB2312" w:hAnsi="楷体" w:eastAsia="仿宋_GB2312" w:cs="Times New Roman"/>
          <w:b w:val="0"/>
          <w:spacing w:val="-4"/>
          <w:sz w:val="28"/>
          <w:szCs w:val="28"/>
        </w:rPr>
        <w:t>%；</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5、社会效益指标：</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指标1：保证教学任务及时完成，指标值：有效保证 ，实际完成值：有效保证，指标完成率100%；</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指标2：保证教师队伍稳定，指标值：有效保证，实际完成值：有效保证，指标完成率100%；</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可持续影响指标：</w:t>
      </w:r>
    </w:p>
    <w:p>
      <w:pPr>
        <w:spacing w:line="360" w:lineRule="auto"/>
        <w:ind w:firstLine="544" w:firstLineChars="200"/>
        <w:rPr>
          <w:rStyle w:val="16"/>
          <w:rFonts w:hint="eastAsia" w:ascii="仿宋_GB2312" w:hAnsi="楷体" w:eastAsia="仿宋_GB2312" w:cs="Times New Roman"/>
          <w:b w:val="0"/>
          <w:spacing w:val="-4"/>
          <w:sz w:val="28"/>
          <w:szCs w:val="28"/>
          <w:lang w:eastAsia="zh-CN"/>
        </w:rPr>
      </w:pPr>
      <w:r>
        <w:rPr>
          <w:rStyle w:val="16"/>
          <w:rFonts w:hint="eastAsia" w:ascii="仿宋_GB2312" w:hAnsi="楷体" w:eastAsia="仿宋_GB2312" w:cs="Times New Roman"/>
          <w:b w:val="0"/>
          <w:spacing w:val="-4"/>
          <w:sz w:val="28"/>
          <w:szCs w:val="28"/>
        </w:rPr>
        <w:t>指标1：每年为社会提供技工人数，指标值：</w:t>
      </w:r>
      <w:r>
        <w:rPr>
          <w:rStyle w:val="16"/>
          <w:rFonts w:ascii="仿宋_GB2312" w:hAnsi="楷体" w:eastAsia="仿宋_GB2312" w:cs="Times New Roman"/>
          <w:b w:val="0"/>
          <w:spacing w:val="-4"/>
          <w:sz w:val="28"/>
          <w:szCs w:val="28"/>
        </w:rPr>
        <w:t>≥</w:t>
      </w:r>
      <w:r>
        <w:rPr>
          <w:rStyle w:val="16"/>
          <w:rFonts w:hint="eastAsia" w:ascii="仿宋_GB2312" w:hAnsi="楷体" w:eastAsia="仿宋_GB2312" w:cs="Times New Roman"/>
          <w:b w:val="0"/>
          <w:spacing w:val="-4"/>
          <w:sz w:val="28"/>
          <w:szCs w:val="28"/>
        </w:rPr>
        <w:t>80人，实际完成值：</w:t>
      </w:r>
      <w:r>
        <w:rPr>
          <w:rStyle w:val="16"/>
          <w:rFonts w:ascii="仿宋_GB2312" w:hAnsi="楷体" w:eastAsia="仿宋_GB2312" w:cs="Times New Roman"/>
          <w:b w:val="0"/>
          <w:spacing w:val="-4"/>
          <w:sz w:val="28"/>
          <w:szCs w:val="28"/>
        </w:rPr>
        <w:t>80</w:t>
      </w:r>
      <w:r>
        <w:rPr>
          <w:rStyle w:val="16"/>
          <w:rFonts w:hint="eastAsia" w:ascii="仿宋_GB2312" w:hAnsi="楷体" w:eastAsia="仿宋_GB2312" w:cs="Times New Roman"/>
          <w:b w:val="0"/>
          <w:spacing w:val="-4"/>
          <w:sz w:val="28"/>
          <w:szCs w:val="28"/>
        </w:rPr>
        <w:t>人，指标完成率：</w:t>
      </w:r>
      <w:r>
        <w:rPr>
          <w:rStyle w:val="16"/>
          <w:rFonts w:ascii="仿宋_GB2312" w:hAnsi="楷体" w:eastAsia="仿宋_GB2312" w:cs="Times New Roman"/>
          <w:b w:val="0"/>
          <w:spacing w:val="-4"/>
          <w:sz w:val="28"/>
          <w:szCs w:val="28"/>
        </w:rPr>
        <w:t>100</w:t>
      </w:r>
      <w:r>
        <w:rPr>
          <w:rStyle w:val="16"/>
          <w:rFonts w:hint="eastAsia" w:ascii="仿宋_GB2312" w:hAnsi="楷体" w:eastAsia="仿宋_GB2312" w:cs="Times New Roman"/>
          <w:b w:val="0"/>
          <w:spacing w:val="-4"/>
          <w:sz w:val="28"/>
          <w:szCs w:val="28"/>
        </w:rPr>
        <w:t>%</w:t>
      </w:r>
      <w:r>
        <w:rPr>
          <w:rStyle w:val="16"/>
          <w:rFonts w:hint="eastAsia" w:ascii="仿宋_GB2312" w:hAnsi="楷体" w:eastAsia="仿宋_GB2312" w:cs="Times New Roman"/>
          <w:b w:val="0"/>
          <w:spacing w:val="-4"/>
          <w:sz w:val="28"/>
          <w:szCs w:val="28"/>
          <w:lang w:eastAsia="zh-CN"/>
        </w:rPr>
        <w:t>；</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7、满意度指标：</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指标1：教师满意度，指标值：≥90%，实际完成值： 90%，指标完成率100%；</w:t>
      </w:r>
    </w:p>
    <w:p>
      <w:pPr>
        <w:spacing w:line="360" w:lineRule="auto"/>
        <w:ind w:firstLine="544" w:firstLineChars="200"/>
        <w:rPr>
          <w:rStyle w:val="16"/>
          <w:rFonts w:hint="eastAsia" w:ascii="仿宋_GB2312" w:hAnsi="楷体" w:eastAsia="仿宋_GB2312" w:cs="Times New Roman"/>
          <w:b w:val="0"/>
          <w:spacing w:val="-4"/>
          <w:sz w:val="28"/>
          <w:szCs w:val="28"/>
          <w:lang w:eastAsia="zh-CN"/>
        </w:rPr>
      </w:pPr>
      <w:r>
        <w:rPr>
          <w:rStyle w:val="16"/>
          <w:rFonts w:hint="eastAsia" w:ascii="仿宋_GB2312" w:hAnsi="楷体" w:eastAsia="仿宋_GB2312" w:cs="Times New Roman"/>
          <w:b w:val="0"/>
          <w:spacing w:val="-4"/>
          <w:sz w:val="28"/>
          <w:szCs w:val="28"/>
        </w:rPr>
        <w:t>指标2：退休教师满意度，指标值：≥95%，实际完成值： 95%，指标完成率100%</w:t>
      </w:r>
      <w:r>
        <w:rPr>
          <w:rStyle w:val="16"/>
          <w:rFonts w:hint="eastAsia" w:ascii="仿宋_GB2312" w:hAnsi="楷体" w:eastAsia="仿宋_GB2312" w:cs="Times New Roman"/>
          <w:b w:val="0"/>
          <w:spacing w:val="-4"/>
          <w:sz w:val="28"/>
          <w:szCs w:val="28"/>
          <w:lang w:eastAsia="zh-CN"/>
        </w:rPr>
        <w:t>。</w:t>
      </w:r>
    </w:p>
    <w:p>
      <w:pPr>
        <w:spacing w:line="360" w:lineRule="auto"/>
        <w:ind w:firstLine="720" w:firstLineChars="200"/>
        <w:rPr>
          <w:rStyle w:val="16"/>
          <w:rFonts w:ascii="仿宋_GB2312" w:hAnsi="楷体" w:eastAsia="仿宋_GB2312" w:cs="Times New Roman"/>
          <w:b w:val="0"/>
          <w:spacing w:val="-4"/>
          <w:sz w:val="28"/>
          <w:szCs w:val="28"/>
        </w:rPr>
      </w:pPr>
      <w:bookmarkStart w:id="27" w:name="_Toc70450317"/>
      <w:r>
        <w:rPr>
          <w:rFonts w:hint="eastAsia" w:ascii="仿宋" w:hAnsi="仿宋" w:eastAsia="仿宋"/>
          <w:sz w:val="36"/>
          <w:szCs w:val="36"/>
          <w:lang w:bidi="ar"/>
        </w:rPr>
        <w:t>六</w:t>
      </w:r>
      <w:r>
        <w:rPr>
          <w:rStyle w:val="16"/>
          <w:rFonts w:hint="eastAsia" w:ascii="仿宋_GB2312" w:hAnsi="楷体" w:eastAsia="仿宋_GB2312" w:cs="Times New Roman"/>
          <w:b w:val="0"/>
          <w:spacing w:val="-4"/>
          <w:sz w:val="28"/>
          <w:szCs w:val="28"/>
        </w:rPr>
        <w:t>、存在的主要问题</w:t>
      </w:r>
      <w:bookmarkEnd w:id="27"/>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1、预算绩效管理观念淡薄，缺乏主动性。</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2、预算绩效管理的组织架构不够完善，缺乏统筹性。</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3、绩效型预算编制脱离实际，缺乏前瞻性。</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4、绩效型预算评价方法比较单一、简单，大都还是采用目标分析法、成本效益分析法等，主观因素判断占比较大，尚未主动尝试采用层次分析法等先进方法。</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5、固定资产管理水平有待提高，固定资产台账未及时与账面资产金额对账且末与实物进行清点及及时清理处置报废资产导致资产台账与账面资产金额存在差异,固定资产管理继续加强中。</w:t>
      </w:r>
    </w:p>
    <w:p>
      <w:pPr>
        <w:pStyle w:val="3"/>
        <w:spacing w:line="360" w:lineRule="auto"/>
        <w:rPr>
          <w:rFonts w:ascii="仿宋" w:hAnsi="仿宋" w:eastAsia="仿宋"/>
          <w:sz w:val="36"/>
          <w:szCs w:val="36"/>
          <w:lang w:bidi="ar"/>
        </w:rPr>
      </w:pPr>
      <w:bookmarkStart w:id="28" w:name="_Toc70450318"/>
      <w:r>
        <w:rPr>
          <w:rFonts w:hint="eastAsia" w:ascii="仿宋" w:hAnsi="仿宋" w:eastAsia="仿宋"/>
          <w:sz w:val="36"/>
          <w:szCs w:val="36"/>
          <w:lang w:bidi="ar"/>
        </w:rPr>
        <w:t>七、改进措施和建议</w:t>
      </w:r>
      <w:bookmarkEnd w:id="28"/>
    </w:p>
    <w:p>
      <w:pPr>
        <w:pStyle w:val="4"/>
        <w:spacing w:line="360" w:lineRule="auto"/>
        <w:rPr>
          <w:rFonts w:ascii="仿宋" w:hAnsi="仿宋" w:eastAsia="仿宋"/>
        </w:rPr>
      </w:pPr>
      <w:bookmarkStart w:id="29" w:name="_Toc70450319"/>
      <w:r>
        <w:rPr>
          <w:rStyle w:val="16"/>
          <w:rFonts w:hint="eastAsia" w:ascii="仿宋" w:hAnsi="仿宋" w:eastAsia="仿宋"/>
          <w:b/>
          <w:bCs/>
        </w:rPr>
        <w:t>（一）改进措施</w:t>
      </w:r>
      <w:bookmarkEnd w:id="29"/>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1、加大宣传力度，强化预算绩效意识。</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2、建立内部控制与预算绩效为核心的工作理念，紧密结合各部门的职能，明确各项分工。</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3、建立以解决问题为导向、指向未来的预算绩效管理模式。</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cs="Times New Roman"/>
          <w:b w:val="0"/>
          <w:spacing w:val="-4"/>
          <w:sz w:val="28"/>
          <w:szCs w:val="28"/>
        </w:rPr>
        <w:t>4、完善管理制度,进-步加强资产管理。严格按照《固定资产管理办法》的规定，加强固定资产管理,及时登记、更新台账，加强资产卡片管理,对各类实物资产进行全面盘点,确保账账、账实相</w:t>
      </w:r>
      <w:r>
        <w:rPr>
          <w:rStyle w:val="16"/>
          <w:rFonts w:hint="eastAsia" w:ascii="仿宋_GB2312" w:hAnsi="楷体" w:eastAsia="仿宋_GB2312"/>
          <w:b w:val="0"/>
          <w:spacing w:val="-4"/>
          <w:sz w:val="28"/>
          <w:szCs w:val="28"/>
        </w:rPr>
        <w:t>符。</w:t>
      </w:r>
    </w:p>
    <w:p>
      <w:pPr>
        <w:pStyle w:val="4"/>
        <w:spacing w:line="360" w:lineRule="auto"/>
        <w:rPr>
          <w:rStyle w:val="16"/>
          <w:rFonts w:ascii="仿宋" w:hAnsi="仿宋" w:eastAsia="仿宋"/>
          <w:b/>
          <w:bCs/>
        </w:rPr>
      </w:pPr>
      <w:bookmarkStart w:id="30" w:name="_Toc70450320"/>
      <w:r>
        <w:rPr>
          <w:rStyle w:val="16"/>
          <w:rFonts w:hint="eastAsia" w:ascii="仿宋" w:hAnsi="仿宋" w:eastAsia="仿宋"/>
          <w:b/>
          <w:bCs/>
        </w:rPr>
        <w:t>（二）建议</w:t>
      </w:r>
      <w:bookmarkEnd w:id="30"/>
    </w:p>
    <w:p>
      <w:pPr>
        <w:spacing w:line="360" w:lineRule="auto"/>
        <w:ind w:firstLine="544" w:firstLineChars="200"/>
        <w:rPr>
          <w:rStyle w:val="16"/>
          <w:rFonts w:ascii="仿宋_GB2312" w:hAnsi="楷体" w:eastAsia="仿宋_GB2312" w:cs="Times New Roman"/>
          <w:b w:val="0"/>
          <w:spacing w:val="-4"/>
          <w:sz w:val="28"/>
          <w:szCs w:val="28"/>
        </w:rPr>
      </w:pPr>
      <w:bookmarkStart w:id="31" w:name="_Toc70450321"/>
      <w:r>
        <w:rPr>
          <w:rStyle w:val="16"/>
          <w:rFonts w:hint="eastAsia" w:ascii="仿宋_GB2312" w:hAnsi="楷体" w:eastAsia="仿宋_GB2312"/>
          <w:b w:val="0"/>
          <w:spacing w:val="-4"/>
          <w:sz w:val="28"/>
          <w:szCs w:val="28"/>
        </w:rPr>
        <w:t>（</w:t>
      </w:r>
      <w:r>
        <w:rPr>
          <w:rStyle w:val="16"/>
          <w:rFonts w:hint="eastAsia" w:ascii="仿宋_GB2312" w:hAnsi="楷体" w:eastAsia="仿宋_GB2312" w:cs="Times New Roman"/>
          <w:b w:val="0"/>
          <w:spacing w:val="-4"/>
          <w:sz w:val="28"/>
          <w:szCs w:val="28"/>
        </w:rPr>
        <w:t>1）加强学习。进一步明确如何参照考核体系，科学合理设定绩效目标，充分发挥预算绩效管理工作效用。</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（2）财务上，会计核算要更加详细，为本单位各项工作的开展、总结、评估提供有效数据资料支撑,为各项业务工作更好的开展提供帮助。</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（3）从源头上强化对专项资金预算管理。实行专项资金预算管理，结合单位实际,按轻重缓急统筹安排编制预算,提高预算编制科学性和合理性,优化资金结构。</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（4）按时间进度分解资金使用计划。专项资金的使用，要事前做计划，事中进行控制，事后总结提高。合理安排资金使用,充分体现资金投向的目标和效益。</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5）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pStyle w:val="3"/>
        <w:spacing w:line="360" w:lineRule="auto"/>
        <w:rPr>
          <w:rStyle w:val="16"/>
          <w:rFonts w:ascii="仿宋" w:hAnsi="仿宋" w:eastAsia="仿宋"/>
          <w:b/>
          <w:bCs/>
          <w:sz w:val="36"/>
          <w:szCs w:val="36"/>
        </w:rPr>
      </w:pPr>
      <w:r>
        <w:rPr>
          <w:rStyle w:val="16"/>
          <w:rFonts w:hint="eastAsia" w:ascii="仿宋" w:hAnsi="仿宋" w:eastAsia="仿宋"/>
          <w:b/>
          <w:bCs/>
          <w:sz w:val="36"/>
          <w:szCs w:val="36"/>
        </w:rPr>
        <w:t>八、附表</w:t>
      </w:r>
      <w:r>
        <w:rPr>
          <w:rStyle w:val="16"/>
          <w:rFonts w:hint="eastAsia" w:ascii="仿宋" w:hAnsi="仿宋" w:eastAsia="仿宋"/>
          <w:b w:val="0"/>
          <w:bCs w:val="0"/>
          <w:spacing w:val="-4"/>
          <w:sz w:val="36"/>
          <w:szCs w:val="36"/>
        </w:rPr>
        <w:t>：</w:t>
      </w:r>
      <w:bookmarkStart w:id="32" w:name="_Hlk70450148"/>
      <w:r>
        <w:rPr>
          <w:rStyle w:val="16"/>
          <w:rFonts w:hint="eastAsia" w:ascii="仿宋" w:hAnsi="仿宋" w:eastAsia="仿宋"/>
          <w:b/>
          <w:bCs/>
          <w:sz w:val="36"/>
          <w:szCs w:val="36"/>
        </w:rPr>
        <w:t>《部门整体支出绩效目标自评表》</w:t>
      </w:r>
      <w:bookmarkEnd w:id="31"/>
      <w:bookmarkEnd w:id="32"/>
    </w:p>
    <w:p/>
    <w:tbl>
      <w:tblPr>
        <w:tblStyle w:val="14"/>
        <w:tblpPr w:leftFromText="180" w:rightFromText="180" w:vertAnchor="text" w:horzAnchor="page" w:tblpX="1225" w:tblpY="-869"/>
        <w:tblOverlap w:val="never"/>
        <w:tblW w:w="9680" w:type="dxa"/>
        <w:tblInd w:w="0" w:type="dxa"/>
        <w:tblLayout w:type="fixed"/>
        <w:tblCellMar>
          <w:top w:w="0" w:type="dxa"/>
          <w:left w:w="108" w:type="dxa"/>
          <w:bottom w:w="0" w:type="dxa"/>
          <w:right w:w="108" w:type="dxa"/>
        </w:tblCellMar>
      </w:tblPr>
      <w:tblGrid>
        <w:gridCol w:w="404"/>
        <w:gridCol w:w="609"/>
        <w:gridCol w:w="1818"/>
        <w:gridCol w:w="995"/>
        <w:gridCol w:w="836"/>
        <w:gridCol w:w="837"/>
        <w:gridCol w:w="703"/>
        <w:gridCol w:w="968"/>
        <w:gridCol w:w="998"/>
        <w:gridCol w:w="1512"/>
      </w:tblGrid>
      <w:tr>
        <w:tblPrEx>
          <w:tblCellMar>
            <w:top w:w="0" w:type="dxa"/>
            <w:left w:w="108" w:type="dxa"/>
            <w:bottom w:w="0" w:type="dxa"/>
            <w:right w:w="108" w:type="dxa"/>
          </w:tblCellMar>
        </w:tblPrEx>
        <w:trPr>
          <w:trHeight w:val="615" w:hRule="atLeast"/>
        </w:trPr>
        <w:tc>
          <w:tcPr>
            <w:tcW w:w="9680" w:type="dxa"/>
            <w:gridSpan w:val="10"/>
            <w:tcBorders>
              <w:top w:val="nil"/>
              <w:left w:val="nil"/>
              <w:bottom w:val="nil"/>
              <w:right w:val="nil"/>
            </w:tcBorders>
            <w:shd w:val="clear" w:color="auto" w:fill="auto"/>
            <w:noWrap/>
            <w:vAlign w:val="center"/>
          </w:tcPr>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lang w:bidi="ar"/>
              </w:rPr>
              <w:t>部门整体支出绩效目标自评表</w:t>
            </w:r>
          </w:p>
        </w:tc>
      </w:tr>
      <w:tr>
        <w:tblPrEx>
          <w:tblCellMar>
            <w:top w:w="0" w:type="dxa"/>
            <w:left w:w="108" w:type="dxa"/>
            <w:bottom w:w="0" w:type="dxa"/>
            <w:right w:w="108" w:type="dxa"/>
          </w:tblCellMar>
        </w:tblPrEx>
        <w:trPr>
          <w:trHeight w:val="615" w:hRule="atLeast"/>
        </w:trPr>
        <w:tc>
          <w:tcPr>
            <w:tcW w:w="9680" w:type="dxa"/>
            <w:gridSpan w:val="10"/>
            <w:tcBorders>
              <w:top w:val="nil"/>
              <w:left w:val="nil"/>
              <w:bottom w:val="nil"/>
              <w:right w:val="nil"/>
            </w:tcBorders>
            <w:shd w:val="clear" w:color="auto" w:fill="auto"/>
            <w:noWrap/>
            <w:vAlign w:val="center"/>
          </w:tcPr>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lang w:bidi="ar"/>
              </w:rPr>
              <w:t>(2021年)</w:t>
            </w:r>
          </w:p>
        </w:tc>
      </w:tr>
      <w:tr>
        <w:tblPrEx>
          <w:tblCellMar>
            <w:top w:w="0" w:type="dxa"/>
            <w:left w:w="108" w:type="dxa"/>
            <w:bottom w:w="0" w:type="dxa"/>
            <w:right w:w="108" w:type="dxa"/>
          </w:tblCellMar>
        </w:tblPrEx>
        <w:trPr>
          <w:trHeight w:val="1239" w:hRule="atLeast"/>
        </w:trPr>
        <w:tc>
          <w:tcPr>
            <w:tcW w:w="10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部门（单位）名称</w:t>
            </w:r>
          </w:p>
        </w:tc>
        <w:tc>
          <w:tcPr>
            <w:tcW w:w="866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特克斯县职业技术学校</w:t>
            </w:r>
          </w:p>
        </w:tc>
      </w:tr>
      <w:tr>
        <w:tblPrEx>
          <w:tblCellMar>
            <w:top w:w="0" w:type="dxa"/>
            <w:left w:w="108" w:type="dxa"/>
            <w:bottom w:w="0" w:type="dxa"/>
            <w:right w:w="108" w:type="dxa"/>
          </w:tblCellMar>
        </w:tblPrEx>
        <w:trPr>
          <w:trHeight w:val="691" w:hRule="atLeast"/>
        </w:trPr>
        <w:tc>
          <w:tcPr>
            <w:tcW w:w="4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年度主要任务</w:t>
            </w:r>
          </w:p>
        </w:tc>
        <w:tc>
          <w:tcPr>
            <w:tcW w:w="6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任务名称</w:t>
            </w:r>
          </w:p>
        </w:tc>
        <w:tc>
          <w:tcPr>
            <w:tcW w:w="18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主要内容</w:t>
            </w:r>
          </w:p>
        </w:tc>
        <w:tc>
          <w:tcPr>
            <w:tcW w:w="26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预算金额（万元）</w:t>
            </w:r>
          </w:p>
        </w:tc>
        <w:tc>
          <w:tcPr>
            <w:tcW w:w="418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实际执行（万元）</w:t>
            </w:r>
          </w:p>
        </w:tc>
      </w:tr>
      <w:tr>
        <w:tblPrEx>
          <w:tblCellMar>
            <w:top w:w="0" w:type="dxa"/>
            <w:left w:w="108" w:type="dxa"/>
            <w:bottom w:w="0" w:type="dxa"/>
            <w:right w:w="108" w:type="dxa"/>
          </w:tblCellMar>
        </w:tblPrEx>
        <w:trPr>
          <w:trHeight w:val="691" w:hRule="atLeast"/>
        </w:trPr>
        <w:tc>
          <w:tcPr>
            <w:tcW w:w="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4"/>
              </w:rPr>
            </w:pPr>
          </w:p>
        </w:tc>
        <w:tc>
          <w:tcPr>
            <w:tcW w:w="6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4"/>
              </w:rPr>
            </w:pPr>
          </w:p>
        </w:tc>
        <w:tc>
          <w:tcPr>
            <w:tcW w:w="1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4"/>
              </w:rPr>
            </w:pP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总额</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财政拨款</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其他资金</w:t>
            </w:r>
          </w:p>
        </w:tc>
        <w:tc>
          <w:tcPr>
            <w:tcW w:w="7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总额</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财政拨款</w:t>
            </w: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其他资金</w:t>
            </w:r>
          </w:p>
        </w:tc>
      </w:tr>
      <w:tr>
        <w:tblPrEx>
          <w:tblCellMar>
            <w:top w:w="0" w:type="dxa"/>
            <w:left w:w="108" w:type="dxa"/>
            <w:bottom w:w="0" w:type="dxa"/>
            <w:right w:w="108" w:type="dxa"/>
          </w:tblCellMar>
        </w:tblPrEx>
        <w:trPr>
          <w:trHeight w:val="932" w:hRule="atLeast"/>
        </w:trPr>
        <w:tc>
          <w:tcPr>
            <w:tcW w:w="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4"/>
              </w:rPr>
            </w:pPr>
          </w:p>
        </w:tc>
        <w:tc>
          <w:tcPr>
            <w:tcW w:w="6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人员保障</w:t>
            </w:r>
          </w:p>
        </w:tc>
        <w:tc>
          <w:tcPr>
            <w:tcW w:w="18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用于保障部门单位人员发放工资福利支出及对个人和家庭补助</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877.24</w:t>
            </w:r>
          </w:p>
        </w:tc>
        <w:tc>
          <w:tcPr>
            <w:tcW w:w="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877.24</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7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877.24</w:t>
            </w:r>
          </w:p>
        </w:tc>
        <w:tc>
          <w:tcPr>
            <w:tcW w:w="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877.24</w:t>
            </w: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lang w:bidi="ar"/>
              </w:rPr>
              <w:t>0</w:t>
            </w:r>
          </w:p>
        </w:tc>
      </w:tr>
      <w:tr>
        <w:tblPrEx>
          <w:tblCellMar>
            <w:top w:w="0" w:type="dxa"/>
            <w:left w:w="108" w:type="dxa"/>
            <w:bottom w:w="0" w:type="dxa"/>
            <w:right w:w="108" w:type="dxa"/>
          </w:tblCellMar>
        </w:tblPrEx>
        <w:trPr>
          <w:trHeight w:val="958" w:hRule="atLeast"/>
        </w:trPr>
        <w:tc>
          <w:tcPr>
            <w:tcW w:w="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4"/>
              </w:rPr>
            </w:pPr>
          </w:p>
        </w:tc>
        <w:tc>
          <w:tcPr>
            <w:tcW w:w="6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运转保障</w:t>
            </w:r>
          </w:p>
        </w:tc>
        <w:tc>
          <w:tcPr>
            <w:tcW w:w="18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用于公车运行维护费</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0.8</w:t>
            </w:r>
          </w:p>
        </w:tc>
        <w:tc>
          <w:tcPr>
            <w:tcW w:w="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0.8</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7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0.8</w:t>
            </w:r>
          </w:p>
        </w:tc>
        <w:tc>
          <w:tcPr>
            <w:tcW w:w="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0.8</w:t>
            </w: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lang w:bidi="ar"/>
              </w:rPr>
              <w:t>0</w:t>
            </w:r>
          </w:p>
        </w:tc>
      </w:tr>
      <w:tr>
        <w:tblPrEx>
          <w:tblCellMar>
            <w:top w:w="0" w:type="dxa"/>
            <w:left w:w="108" w:type="dxa"/>
            <w:bottom w:w="0" w:type="dxa"/>
            <w:right w:w="108" w:type="dxa"/>
          </w:tblCellMar>
        </w:tblPrEx>
        <w:trPr>
          <w:trHeight w:val="624" w:hRule="atLeast"/>
        </w:trPr>
        <w:tc>
          <w:tcPr>
            <w:tcW w:w="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4"/>
              </w:rPr>
            </w:pPr>
          </w:p>
        </w:tc>
        <w:tc>
          <w:tcPr>
            <w:tcW w:w="24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金额合计</w:t>
            </w: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878.04</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878.04</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7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878.04</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878.04</w:t>
            </w: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ascii="宋体" w:hAnsi="宋体" w:eastAsia="宋体" w:cs="宋体"/>
                <w:color w:val="000000"/>
                <w:kern w:val="0"/>
                <w:sz w:val="20"/>
                <w:szCs w:val="20"/>
                <w:lang w:bidi="ar"/>
              </w:rPr>
              <w:t>0</w:t>
            </w:r>
          </w:p>
        </w:tc>
      </w:tr>
      <w:tr>
        <w:tblPrEx>
          <w:tblCellMar>
            <w:top w:w="0" w:type="dxa"/>
            <w:left w:w="108" w:type="dxa"/>
            <w:bottom w:w="0" w:type="dxa"/>
            <w:right w:w="108" w:type="dxa"/>
          </w:tblCellMar>
        </w:tblPrEx>
        <w:trPr>
          <w:trHeight w:val="497" w:hRule="atLeast"/>
        </w:trPr>
        <w:tc>
          <w:tcPr>
            <w:tcW w:w="404" w:type="dxa"/>
            <w:vMerge w:val="restart"/>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年度总体目标</w:t>
            </w:r>
          </w:p>
        </w:tc>
        <w:tc>
          <w:tcPr>
            <w:tcW w:w="34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预期目标</w:t>
            </w:r>
          </w:p>
        </w:tc>
        <w:tc>
          <w:tcPr>
            <w:tcW w:w="585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实际完成目标</w:t>
            </w:r>
          </w:p>
        </w:tc>
      </w:tr>
      <w:tr>
        <w:tblPrEx>
          <w:tblCellMar>
            <w:top w:w="0" w:type="dxa"/>
            <w:left w:w="108" w:type="dxa"/>
            <w:bottom w:w="0" w:type="dxa"/>
            <w:right w:w="108" w:type="dxa"/>
          </w:tblCellMar>
        </w:tblPrEx>
        <w:trPr>
          <w:trHeight w:val="3081" w:hRule="atLeast"/>
        </w:trPr>
        <w:tc>
          <w:tcPr>
            <w:tcW w:w="404"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4"/>
              </w:rPr>
            </w:pPr>
          </w:p>
        </w:tc>
        <w:tc>
          <w:tcPr>
            <w:tcW w:w="34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做好维稳及疫情防控工作，确保校园安全。2：完成在职教师工资发放、按时完成社保、公积金缴纳。3：及时完成退休教师取暖费、计生奖励金的发放。4：做好教育教学管理工作，完成每年教学及招生任务。.5：全面推进各类教师能力提升的培训，加强教师队伍建设。6.：全面推进职业技能培训，培养学生掌握一定的文化水平和专业技能。</w:t>
            </w:r>
          </w:p>
        </w:tc>
        <w:tc>
          <w:tcPr>
            <w:tcW w:w="585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确保了校园安全工作，完成了招生工作及任务、完成人员经费的合理分配。完成在职教师工资发放、按时完成社保、公积金缴纳。及时完成退休教师取暖费、计生奖励金目发放。完成每年教学任务，完成全面推进各类教师能力提升培训，加强教师队伍建设。完成2021年各项教育教学管理工作。</w:t>
            </w:r>
          </w:p>
        </w:tc>
      </w:tr>
      <w:tr>
        <w:tblPrEx>
          <w:tblCellMar>
            <w:top w:w="0" w:type="dxa"/>
            <w:left w:w="108" w:type="dxa"/>
            <w:bottom w:w="0" w:type="dxa"/>
            <w:right w:w="108" w:type="dxa"/>
          </w:tblCellMar>
        </w:tblPrEx>
        <w:trPr>
          <w:trHeight w:val="1239" w:hRule="atLeast"/>
        </w:trPr>
        <w:tc>
          <w:tcPr>
            <w:tcW w:w="4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年度绩效指标</w:t>
            </w:r>
          </w:p>
        </w:tc>
        <w:tc>
          <w:tcPr>
            <w:tcW w:w="6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一级指标</w:t>
            </w:r>
          </w:p>
        </w:tc>
        <w:tc>
          <w:tcPr>
            <w:tcW w:w="18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二级指标</w:t>
            </w:r>
          </w:p>
        </w:tc>
        <w:tc>
          <w:tcPr>
            <w:tcW w:w="26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三级指标</w:t>
            </w:r>
          </w:p>
        </w:tc>
        <w:tc>
          <w:tcPr>
            <w:tcW w:w="26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预期指标值（包含数字及文字描述）</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实际完成指标值（包含数字及文字描述）</w:t>
            </w:r>
          </w:p>
        </w:tc>
      </w:tr>
      <w:tr>
        <w:tblPrEx>
          <w:tblCellMar>
            <w:top w:w="0" w:type="dxa"/>
            <w:left w:w="108" w:type="dxa"/>
            <w:bottom w:w="0" w:type="dxa"/>
            <w:right w:w="108" w:type="dxa"/>
          </w:tblCellMar>
        </w:tblPrEx>
        <w:trPr>
          <w:trHeight w:val="497" w:hRule="atLeast"/>
        </w:trPr>
        <w:tc>
          <w:tcPr>
            <w:tcW w:w="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4"/>
              </w:rPr>
            </w:pPr>
          </w:p>
        </w:tc>
        <w:tc>
          <w:tcPr>
            <w:tcW w:w="60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产出指标</w:t>
            </w:r>
          </w:p>
        </w:tc>
        <w:tc>
          <w:tcPr>
            <w:tcW w:w="1818" w:type="dxa"/>
            <w:vMerge w:val="restart"/>
            <w:tcBorders>
              <w:top w:val="single" w:color="000000" w:sz="4" w:space="0"/>
              <w:left w:val="single" w:color="000000" w:sz="4" w:space="0"/>
              <w:bottom w:val="nil"/>
              <w:right w:val="single" w:color="000000" w:sz="4" w:space="0"/>
            </w:tcBorders>
            <w:shd w:val="clear" w:color="auto" w:fill="auto"/>
            <w:noWrap/>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数量指标</w:t>
            </w:r>
          </w:p>
        </w:tc>
        <w:tc>
          <w:tcPr>
            <w:tcW w:w="26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保障在职工资人数</w:t>
            </w:r>
          </w:p>
        </w:tc>
        <w:tc>
          <w:tcPr>
            <w:tcW w:w="26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=68人</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68人</w:t>
            </w:r>
          </w:p>
        </w:tc>
      </w:tr>
      <w:tr>
        <w:tblPrEx>
          <w:tblCellMar>
            <w:top w:w="0" w:type="dxa"/>
            <w:left w:w="108" w:type="dxa"/>
            <w:bottom w:w="0" w:type="dxa"/>
            <w:right w:w="108" w:type="dxa"/>
          </w:tblCellMar>
        </w:tblPrEx>
        <w:trPr>
          <w:trHeight w:val="497" w:hRule="atLeast"/>
        </w:trPr>
        <w:tc>
          <w:tcPr>
            <w:tcW w:w="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4"/>
              </w:rPr>
            </w:pPr>
          </w:p>
        </w:tc>
        <w:tc>
          <w:tcPr>
            <w:tcW w:w="60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8"/>
                <w:szCs w:val="18"/>
              </w:rPr>
            </w:pPr>
          </w:p>
        </w:tc>
        <w:tc>
          <w:tcPr>
            <w:tcW w:w="1818" w:type="dxa"/>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ascii="宋体" w:hAnsi="宋体" w:eastAsia="宋体" w:cs="宋体"/>
                <w:color w:val="000000"/>
                <w:sz w:val="18"/>
                <w:szCs w:val="18"/>
              </w:rPr>
            </w:pPr>
          </w:p>
        </w:tc>
        <w:tc>
          <w:tcPr>
            <w:tcW w:w="26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遗属补助人数</w:t>
            </w:r>
          </w:p>
        </w:tc>
        <w:tc>
          <w:tcPr>
            <w:tcW w:w="26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=5人</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5人</w:t>
            </w:r>
          </w:p>
        </w:tc>
      </w:tr>
      <w:tr>
        <w:tblPrEx>
          <w:tblCellMar>
            <w:top w:w="0" w:type="dxa"/>
            <w:left w:w="108" w:type="dxa"/>
            <w:bottom w:w="0" w:type="dxa"/>
            <w:right w:w="108" w:type="dxa"/>
          </w:tblCellMar>
        </w:tblPrEx>
        <w:trPr>
          <w:trHeight w:val="497" w:hRule="atLeast"/>
        </w:trPr>
        <w:tc>
          <w:tcPr>
            <w:tcW w:w="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4"/>
              </w:rPr>
            </w:pPr>
          </w:p>
        </w:tc>
        <w:tc>
          <w:tcPr>
            <w:tcW w:w="60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8"/>
                <w:szCs w:val="18"/>
              </w:rPr>
            </w:pPr>
          </w:p>
        </w:tc>
        <w:tc>
          <w:tcPr>
            <w:tcW w:w="1818" w:type="dxa"/>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ascii="宋体" w:hAnsi="宋体" w:eastAsia="宋体" w:cs="宋体"/>
                <w:color w:val="000000"/>
                <w:sz w:val="18"/>
                <w:szCs w:val="18"/>
              </w:rPr>
            </w:pPr>
          </w:p>
        </w:tc>
        <w:tc>
          <w:tcPr>
            <w:tcW w:w="26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保障公车数量</w:t>
            </w:r>
          </w:p>
        </w:tc>
        <w:tc>
          <w:tcPr>
            <w:tcW w:w="26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=1辆</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1辆</w:t>
            </w:r>
          </w:p>
        </w:tc>
      </w:tr>
      <w:tr>
        <w:tblPrEx>
          <w:tblCellMar>
            <w:top w:w="0" w:type="dxa"/>
            <w:left w:w="108" w:type="dxa"/>
            <w:bottom w:w="0" w:type="dxa"/>
            <w:right w:w="108" w:type="dxa"/>
          </w:tblCellMar>
        </w:tblPrEx>
        <w:trPr>
          <w:trHeight w:val="497" w:hRule="atLeast"/>
        </w:trPr>
        <w:tc>
          <w:tcPr>
            <w:tcW w:w="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4"/>
              </w:rPr>
            </w:pPr>
          </w:p>
        </w:tc>
        <w:tc>
          <w:tcPr>
            <w:tcW w:w="60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8"/>
                <w:szCs w:val="18"/>
              </w:rPr>
            </w:pPr>
          </w:p>
        </w:tc>
        <w:tc>
          <w:tcPr>
            <w:tcW w:w="1818" w:type="dxa"/>
            <w:tcBorders>
              <w:top w:val="single" w:color="000000" w:sz="4" w:space="0"/>
              <w:left w:val="single" w:color="000000" w:sz="4" w:space="0"/>
              <w:bottom w:val="nil"/>
              <w:right w:val="single" w:color="000000" w:sz="4" w:space="0"/>
            </w:tcBorders>
            <w:shd w:val="clear" w:color="auto" w:fill="auto"/>
            <w:noWrap/>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质量指标</w:t>
            </w:r>
          </w:p>
        </w:tc>
        <w:tc>
          <w:tcPr>
            <w:tcW w:w="26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资金发放准确率</w:t>
            </w:r>
          </w:p>
        </w:tc>
        <w:tc>
          <w:tcPr>
            <w:tcW w:w="26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r>
      <w:tr>
        <w:tblPrEx>
          <w:tblCellMar>
            <w:top w:w="0" w:type="dxa"/>
            <w:left w:w="108" w:type="dxa"/>
            <w:bottom w:w="0" w:type="dxa"/>
            <w:right w:w="108" w:type="dxa"/>
          </w:tblCellMar>
        </w:tblPrEx>
        <w:trPr>
          <w:trHeight w:val="497" w:hRule="atLeast"/>
        </w:trPr>
        <w:tc>
          <w:tcPr>
            <w:tcW w:w="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4"/>
              </w:rPr>
            </w:pPr>
          </w:p>
        </w:tc>
        <w:tc>
          <w:tcPr>
            <w:tcW w:w="60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8"/>
                <w:szCs w:val="18"/>
              </w:rPr>
            </w:pPr>
          </w:p>
        </w:tc>
        <w:tc>
          <w:tcPr>
            <w:tcW w:w="1818" w:type="dxa"/>
            <w:tcBorders>
              <w:top w:val="single" w:color="000000" w:sz="4" w:space="0"/>
              <w:left w:val="single" w:color="000000" w:sz="4" w:space="0"/>
              <w:bottom w:val="nil"/>
              <w:right w:val="single" w:color="000000" w:sz="4" w:space="0"/>
            </w:tcBorders>
            <w:shd w:val="clear" w:color="auto" w:fill="auto"/>
            <w:noWrap/>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时效指标</w:t>
            </w:r>
          </w:p>
        </w:tc>
        <w:tc>
          <w:tcPr>
            <w:tcW w:w="26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资金发放及时性</w:t>
            </w:r>
          </w:p>
        </w:tc>
        <w:tc>
          <w:tcPr>
            <w:tcW w:w="26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r>
      <w:tr>
        <w:tblPrEx>
          <w:tblCellMar>
            <w:top w:w="0" w:type="dxa"/>
            <w:left w:w="108" w:type="dxa"/>
            <w:bottom w:w="0" w:type="dxa"/>
            <w:right w:w="108" w:type="dxa"/>
          </w:tblCellMar>
        </w:tblPrEx>
        <w:trPr>
          <w:trHeight w:val="624" w:hRule="atLeast"/>
        </w:trPr>
        <w:tc>
          <w:tcPr>
            <w:tcW w:w="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4"/>
              </w:rPr>
            </w:pPr>
          </w:p>
        </w:tc>
        <w:tc>
          <w:tcPr>
            <w:tcW w:w="60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8"/>
                <w:szCs w:val="18"/>
              </w:rPr>
            </w:pPr>
          </w:p>
        </w:tc>
        <w:tc>
          <w:tcPr>
            <w:tcW w:w="181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成本指标</w:t>
            </w:r>
          </w:p>
        </w:tc>
        <w:tc>
          <w:tcPr>
            <w:tcW w:w="26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保障人员人均支出标准</w:t>
            </w:r>
          </w:p>
        </w:tc>
        <w:tc>
          <w:tcPr>
            <w:tcW w:w="26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&lt;=12.61万元/人/年</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ascii="宋体" w:hAnsi="宋体" w:eastAsia="宋体" w:cs="宋体"/>
                <w:color w:val="000000"/>
                <w:kern w:val="0"/>
                <w:sz w:val="18"/>
                <w:szCs w:val="18"/>
                <w:lang w:bidi="ar"/>
              </w:rPr>
              <w:t>12.61</w:t>
            </w:r>
            <w:r>
              <w:rPr>
                <w:rFonts w:hint="eastAsia" w:ascii="宋体" w:hAnsi="宋体" w:eastAsia="宋体" w:cs="宋体"/>
                <w:color w:val="000000"/>
                <w:kern w:val="0"/>
                <w:sz w:val="18"/>
                <w:szCs w:val="18"/>
                <w:lang w:bidi="ar"/>
              </w:rPr>
              <w:t>万元/人/年</w:t>
            </w:r>
          </w:p>
        </w:tc>
      </w:tr>
      <w:tr>
        <w:tblPrEx>
          <w:tblCellMar>
            <w:top w:w="0" w:type="dxa"/>
            <w:left w:w="108" w:type="dxa"/>
            <w:bottom w:w="0" w:type="dxa"/>
            <w:right w:w="108" w:type="dxa"/>
          </w:tblCellMar>
        </w:tblPrEx>
        <w:trPr>
          <w:trHeight w:val="497" w:hRule="atLeast"/>
        </w:trPr>
        <w:tc>
          <w:tcPr>
            <w:tcW w:w="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4"/>
              </w:rPr>
            </w:pPr>
          </w:p>
        </w:tc>
        <w:tc>
          <w:tcPr>
            <w:tcW w:w="60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8"/>
                <w:szCs w:val="18"/>
              </w:rPr>
            </w:pPr>
          </w:p>
        </w:tc>
        <w:tc>
          <w:tcPr>
            <w:tcW w:w="18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8"/>
                <w:szCs w:val="18"/>
              </w:rPr>
            </w:pPr>
          </w:p>
        </w:tc>
        <w:tc>
          <w:tcPr>
            <w:tcW w:w="26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退休人员计生奖励</w:t>
            </w:r>
          </w:p>
        </w:tc>
        <w:tc>
          <w:tcPr>
            <w:tcW w:w="26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&lt;=1136元/人/年</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w:t>
            </w:r>
            <w:r>
              <w:rPr>
                <w:rFonts w:ascii="宋体" w:hAnsi="宋体" w:eastAsia="宋体" w:cs="宋体"/>
                <w:color w:val="000000"/>
                <w:kern w:val="0"/>
                <w:sz w:val="18"/>
                <w:szCs w:val="18"/>
                <w:lang w:bidi="ar"/>
              </w:rPr>
              <w:t>136</w:t>
            </w:r>
            <w:r>
              <w:rPr>
                <w:rFonts w:hint="eastAsia" w:ascii="宋体" w:hAnsi="宋体" w:eastAsia="宋体" w:cs="宋体"/>
                <w:color w:val="000000"/>
                <w:kern w:val="0"/>
                <w:sz w:val="18"/>
                <w:szCs w:val="18"/>
                <w:lang w:bidi="ar"/>
              </w:rPr>
              <w:t>元/人/年</w:t>
            </w:r>
          </w:p>
        </w:tc>
      </w:tr>
      <w:tr>
        <w:tblPrEx>
          <w:tblCellMar>
            <w:top w:w="0" w:type="dxa"/>
            <w:left w:w="108" w:type="dxa"/>
            <w:bottom w:w="0" w:type="dxa"/>
            <w:right w:w="108" w:type="dxa"/>
          </w:tblCellMar>
        </w:tblPrEx>
        <w:trPr>
          <w:trHeight w:val="497" w:hRule="atLeast"/>
        </w:trPr>
        <w:tc>
          <w:tcPr>
            <w:tcW w:w="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4"/>
              </w:rPr>
            </w:pPr>
          </w:p>
        </w:tc>
        <w:tc>
          <w:tcPr>
            <w:tcW w:w="60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8"/>
                <w:szCs w:val="18"/>
              </w:rPr>
            </w:pPr>
          </w:p>
        </w:tc>
        <w:tc>
          <w:tcPr>
            <w:tcW w:w="18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8"/>
                <w:szCs w:val="18"/>
              </w:rPr>
            </w:pPr>
          </w:p>
        </w:tc>
        <w:tc>
          <w:tcPr>
            <w:tcW w:w="26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采暖补贴</w:t>
            </w:r>
          </w:p>
        </w:tc>
        <w:tc>
          <w:tcPr>
            <w:tcW w:w="26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≤1300元/人/年</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1300元/人/年</w:t>
            </w:r>
          </w:p>
        </w:tc>
      </w:tr>
      <w:tr>
        <w:tblPrEx>
          <w:tblCellMar>
            <w:top w:w="0" w:type="dxa"/>
            <w:left w:w="108" w:type="dxa"/>
            <w:bottom w:w="0" w:type="dxa"/>
            <w:right w:w="108" w:type="dxa"/>
          </w:tblCellMar>
        </w:tblPrEx>
        <w:trPr>
          <w:trHeight w:val="497" w:hRule="atLeast"/>
        </w:trPr>
        <w:tc>
          <w:tcPr>
            <w:tcW w:w="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4"/>
              </w:rPr>
            </w:pPr>
          </w:p>
        </w:tc>
        <w:tc>
          <w:tcPr>
            <w:tcW w:w="60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8"/>
                <w:szCs w:val="18"/>
              </w:rPr>
            </w:pPr>
          </w:p>
        </w:tc>
        <w:tc>
          <w:tcPr>
            <w:tcW w:w="18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8"/>
                <w:szCs w:val="18"/>
              </w:rPr>
            </w:pPr>
          </w:p>
        </w:tc>
        <w:tc>
          <w:tcPr>
            <w:tcW w:w="26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遗属补助</w:t>
            </w:r>
          </w:p>
        </w:tc>
        <w:tc>
          <w:tcPr>
            <w:tcW w:w="26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≤4440元/人/年</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ascii="宋体" w:hAnsi="宋体" w:eastAsia="宋体" w:cs="宋体"/>
                <w:color w:val="000000"/>
                <w:kern w:val="0"/>
                <w:sz w:val="18"/>
                <w:szCs w:val="18"/>
                <w:lang w:bidi="ar"/>
              </w:rPr>
              <w:t>4440</w:t>
            </w:r>
            <w:r>
              <w:rPr>
                <w:rFonts w:hint="eastAsia" w:ascii="宋体" w:hAnsi="宋体" w:eastAsia="宋体" w:cs="宋体"/>
                <w:color w:val="000000"/>
                <w:kern w:val="0"/>
                <w:sz w:val="18"/>
                <w:szCs w:val="18"/>
                <w:lang w:bidi="ar"/>
              </w:rPr>
              <w:t>元/人/年</w:t>
            </w:r>
          </w:p>
        </w:tc>
      </w:tr>
      <w:tr>
        <w:tblPrEx>
          <w:tblCellMar>
            <w:top w:w="0" w:type="dxa"/>
            <w:left w:w="108" w:type="dxa"/>
            <w:bottom w:w="0" w:type="dxa"/>
            <w:right w:w="108" w:type="dxa"/>
          </w:tblCellMar>
        </w:tblPrEx>
        <w:trPr>
          <w:trHeight w:val="497" w:hRule="atLeast"/>
        </w:trPr>
        <w:tc>
          <w:tcPr>
            <w:tcW w:w="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4"/>
              </w:rPr>
            </w:pPr>
          </w:p>
        </w:tc>
        <w:tc>
          <w:tcPr>
            <w:tcW w:w="60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8"/>
                <w:szCs w:val="18"/>
              </w:rPr>
            </w:pPr>
          </w:p>
        </w:tc>
        <w:tc>
          <w:tcPr>
            <w:tcW w:w="18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8"/>
                <w:szCs w:val="18"/>
              </w:rPr>
            </w:pPr>
          </w:p>
        </w:tc>
        <w:tc>
          <w:tcPr>
            <w:tcW w:w="26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公车运行费</w:t>
            </w:r>
          </w:p>
        </w:tc>
        <w:tc>
          <w:tcPr>
            <w:tcW w:w="26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&lt;=8000元/辆/年</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8000元/辆/年</w:t>
            </w:r>
          </w:p>
        </w:tc>
      </w:tr>
      <w:tr>
        <w:tblPrEx>
          <w:tblCellMar>
            <w:top w:w="0" w:type="dxa"/>
            <w:left w:w="108" w:type="dxa"/>
            <w:bottom w:w="0" w:type="dxa"/>
            <w:right w:w="108" w:type="dxa"/>
          </w:tblCellMar>
        </w:tblPrEx>
        <w:trPr>
          <w:trHeight w:val="497" w:hRule="atLeast"/>
        </w:trPr>
        <w:tc>
          <w:tcPr>
            <w:tcW w:w="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4"/>
              </w:rPr>
            </w:pPr>
          </w:p>
        </w:tc>
        <w:tc>
          <w:tcPr>
            <w:tcW w:w="609" w:type="dxa"/>
            <w:vMerge w:val="restart"/>
            <w:tcBorders>
              <w:top w:val="nil"/>
              <w:left w:val="single" w:color="000000" w:sz="4" w:space="0"/>
              <w:bottom w:val="nil"/>
              <w:right w:val="single" w:color="000000" w:sz="4" w:space="0"/>
            </w:tcBorders>
            <w:shd w:val="clear" w:color="auto" w:fill="auto"/>
            <w:noWrap/>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效益指标</w:t>
            </w:r>
          </w:p>
        </w:tc>
        <w:tc>
          <w:tcPr>
            <w:tcW w:w="1818" w:type="dxa"/>
            <w:vMerge w:val="restart"/>
            <w:tcBorders>
              <w:top w:val="single" w:color="000000" w:sz="4" w:space="0"/>
              <w:left w:val="single" w:color="000000" w:sz="4" w:space="0"/>
              <w:bottom w:val="nil"/>
              <w:right w:val="single" w:color="000000" w:sz="4" w:space="0"/>
            </w:tcBorders>
            <w:shd w:val="clear" w:color="auto" w:fill="auto"/>
            <w:noWrap/>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社会效益指标</w:t>
            </w:r>
          </w:p>
        </w:tc>
        <w:tc>
          <w:tcPr>
            <w:tcW w:w="26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保证教学任务及时完成</w:t>
            </w:r>
          </w:p>
        </w:tc>
        <w:tc>
          <w:tcPr>
            <w:tcW w:w="26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有效保证</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有效保证</w:t>
            </w:r>
          </w:p>
        </w:tc>
      </w:tr>
      <w:tr>
        <w:tblPrEx>
          <w:tblCellMar>
            <w:top w:w="0" w:type="dxa"/>
            <w:left w:w="108" w:type="dxa"/>
            <w:bottom w:w="0" w:type="dxa"/>
            <w:right w:w="108" w:type="dxa"/>
          </w:tblCellMar>
        </w:tblPrEx>
        <w:trPr>
          <w:trHeight w:val="497" w:hRule="atLeast"/>
        </w:trPr>
        <w:tc>
          <w:tcPr>
            <w:tcW w:w="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4"/>
              </w:rPr>
            </w:pPr>
          </w:p>
        </w:tc>
        <w:tc>
          <w:tcPr>
            <w:tcW w:w="609" w:type="dxa"/>
            <w:vMerge w:val="continue"/>
            <w:tcBorders>
              <w:top w:val="nil"/>
              <w:left w:val="single" w:color="000000" w:sz="4" w:space="0"/>
              <w:bottom w:val="nil"/>
              <w:right w:val="single" w:color="000000" w:sz="4" w:space="0"/>
            </w:tcBorders>
            <w:shd w:val="clear" w:color="auto" w:fill="auto"/>
            <w:noWrap/>
            <w:vAlign w:val="center"/>
          </w:tcPr>
          <w:p>
            <w:pPr>
              <w:jc w:val="center"/>
              <w:rPr>
                <w:rFonts w:ascii="宋体" w:hAnsi="宋体" w:eastAsia="宋体" w:cs="宋体"/>
                <w:color w:val="000000"/>
                <w:sz w:val="18"/>
                <w:szCs w:val="18"/>
              </w:rPr>
            </w:pPr>
          </w:p>
        </w:tc>
        <w:tc>
          <w:tcPr>
            <w:tcW w:w="1818" w:type="dxa"/>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ascii="宋体" w:hAnsi="宋体" w:eastAsia="宋体" w:cs="宋体"/>
                <w:color w:val="000000"/>
                <w:sz w:val="18"/>
                <w:szCs w:val="18"/>
              </w:rPr>
            </w:pPr>
          </w:p>
        </w:tc>
        <w:tc>
          <w:tcPr>
            <w:tcW w:w="26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保证教师队伍稳定</w:t>
            </w:r>
          </w:p>
        </w:tc>
        <w:tc>
          <w:tcPr>
            <w:tcW w:w="26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有效保证</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有效保证</w:t>
            </w:r>
          </w:p>
        </w:tc>
      </w:tr>
      <w:tr>
        <w:tblPrEx>
          <w:tblCellMar>
            <w:top w:w="0" w:type="dxa"/>
            <w:left w:w="108" w:type="dxa"/>
            <w:bottom w:w="0" w:type="dxa"/>
            <w:right w:w="108" w:type="dxa"/>
          </w:tblCellMar>
        </w:tblPrEx>
        <w:trPr>
          <w:trHeight w:val="497" w:hRule="atLeast"/>
        </w:trPr>
        <w:tc>
          <w:tcPr>
            <w:tcW w:w="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4"/>
              </w:rPr>
            </w:pPr>
          </w:p>
        </w:tc>
        <w:tc>
          <w:tcPr>
            <w:tcW w:w="609" w:type="dxa"/>
            <w:vMerge w:val="continue"/>
            <w:tcBorders>
              <w:top w:val="nil"/>
              <w:left w:val="single" w:color="000000" w:sz="4" w:space="0"/>
              <w:bottom w:val="nil"/>
              <w:right w:val="single" w:color="000000" w:sz="4" w:space="0"/>
            </w:tcBorders>
            <w:shd w:val="clear" w:color="auto" w:fill="auto"/>
            <w:noWrap/>
            <w:vAlign w:val="center"/>
          </w:tcPr>
          <w:p>
            <w:pPr>
              <w:jc w:val="center"/>
              <w:rPr>
                <w:rFonts w:ascii="宋体" w:hAnsi="宋体" w:eastAsia="宋体" w:cs="宋体"/>
                <w:color w:val="000000"/>
                <w:sz w:val="18"/>
                <w:szCs w:val="18"/>
              </w:rPr>
            </w:pPr>
          </w:p>
        </w:tc>
        <w:tc>
          <w:tcPr>
            <w:tcW w:w="1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可持续影响指标</w:t>
            </w:r>
          </w:p>
        </w:tc>
        <w:tc>
          <w:tcPr>
            <w:tcW w:w="26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每年为社会提供技工人数</w:t>
            </w:r>
          </w:p>
        </w:tc>
        <w:tc>
          <w:tcPr>
            <w:tcW w:w="2669" w:type="dxa"/>
            <w:gridSpan w:val="3"/>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&gt;=80人</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ascii="宋体" w:hAnsi="宋体" w:eastAsia="宋体" w:cs="宋体"/>
                <w:color w:val="000000"/>
                <w:kern w:val="0"/>
                <w:sz w:val="18"/>
                <w:szCs w:val="18"/>
                <w:lang w:bidi="ar"/>
              </w:rPr>
              <w:t>80</w:t>
            </w:r>
            <w:r>
              <w:rPr>
                <w:rFonts w:hint="eastAsia" w:ascii="宋体" w:hAnsi="宋体" w:eastAsia="宋体" w:cs="宋体"/>
                <w:color w:val="000000"/>
                <w:kern w:val="0"/>
                <w:sz w:val="18"/>
                <w:szCs w:val="18"/>
                <w:lang w:bidi="ar"/>
              </w:rPr>
              <w:t>人</w:t>
            </w:r>
          </w:p>
        </w:tc>
      </w:tr>
      <w:tr>
        <w:tblPrEx>
          <w:tblCellMar>
            <w:top w:w="0" w:type="dxa"/>
            <w:left w:w="108" w:type="dxa"/>
            <w:bottom w:w="0" w:type="dxa"/>
            <w:right w:w="108" w:type="dxa"/>
          </w:tblCellMar>
        </w:tblPrEx>
        <w:trPr>
          <w:trHeight w:val="497" w:hRule="atLeast"/>
        </w:trPr>
        <w:tc>
          <w:tcPr>
            <w:tcW w:w="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4"/>
              </w:rPr>
            </w:pPr>
          </w:p>
        </w:tc>
        <w:tc>
          <w:tcPr>
            <w:tcW w:w="60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181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26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教师满意度</w:t>
            </w:r>
          </w:p>
        </w:tc>
        <w:tc>
          <w:tcPr>
            <w:tcW w:w="26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90%</w:t>
            </w:r>
          </w:p>
        </w:tc>
      </w:tr>
      <w:tr>
        <w:tblPrEx>
          <w:tblCellMar>
            <w:top w:w="0" w:type="dxa"/>
            <w:left w:w="108" w:type="dxa"/>
            <w:bottom w:w="0" w:type="dxa"/>
            <w:right w:w="108" w:type="dxa"/>
          </w:tblCellMar>
        </w:tblPrEx>
        <w:trPr>
          <w:trHeight w:val="516" w:hRule="atLeast"/>
        </w:trPr>
        <w:tc>
          <w:tcPr>
            <w:tcW w:w="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bCs/>
                <w:color w:val="000000"/>
                <w:sz w:val="24"/>
              </w:rPr>
            </w:pPr>
          </w:p>
        </w:tc>
        <w:tc>
          <w:tcPr>
            <w:tcW w:w="60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8"/>
                <w:szCs w:val="18"/>
              </w:rPr>
            </w:pPr>
          </w:p>
        </w:tc>
        <w:tc>
          <w:tcPr>
            <w:tcW w:w="18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18"/>
                <w:szCs w:val="18"/>
              </w:rPr>
            </w:pPr>
          </w:p>
        </w:tc>
        <w:tc>
          <w:tcPr>
            <w:tcW w:w="26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退休教师满意度</w:t>
            </w:r>
          </w:p>
        </w:tc>
        <w:tc>
          <w:tcPr>
            <w:tcW w:w="26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≥95%</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95%</w:t>
            </w:r>
          </w:p>
        </w:tc>
      </w:tr>
    </w:tbl>
    <w:p/>
    <w:p/>
    <w:p/>
    <w:p/>
    <w:p/>
    <w:p/>
    <w:p/>
    <w:p/>
    <w:p/>
    <w:p/>
    <w:p/>
    <w:p/>
    <w:p/>
    <w:p/>
    <w:p/>
    <w:p/>
    <w:p/>
    <w:p/>
    <w:p/>
    <w:p/>
    <w:p/>
    <w:p/>
    <w:p/>
    <w:p/>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7 -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699945"/>
    <w:multiLevelType w:val="singleLevel"/>
    <w:tmpl w:val="9C699945"/>
    <w:lvl w:ilvl="0" w:tentative="0">
      <w:start w:val="1"/>
      <w:numFmt w:val="decimal"/>
      <w:suff w:val="nothing"/>
      <w:lvlText w:val="%1、"/>
      <w:lvlJc w:val="left"/>
    </w:lvl>
  </w:abstractNum>
  <w:abstractNum w:abstractNumId="1">
    <w:nsid w:val="B6FBC884"/>
    <w:multiLevelType w:val="singleLevel"/>
    <w:tmpl w:val="B6FBC884"/>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MDZlYmI5MDk0MTg0NGQ5YjU3MzZhZWMwZGE3NjIifQ=="/>
  </w:docVars>
  <w:rsids>
    <w:rsidRoot w:val="00172A27"/>
    <w:rsid w:val="00025A44"/>
    <w:rsid w:val="000376C8"/>
    <w:rsid w:val="00072084"/>
    <w:rsid w:val="0009422A"/>
    <w:rsid w:val="000B6B13"/>
    <w:rsid w:val="000D1DEE"/>
    <w:rsid w:val="000D3AFA"/>
    <w:rsid w:val="000E3313"/>
    <w:rsid w:val="00105D60"/>
    <w:rsid w:val="001121F2"/>
    <w:rsid w:val="00112859"/>
    <w:rsid w:val="001173EB"/>
    <w:rsid w:val="00150C4C"/>
    <w:rsid w:val="00172A27"/>
    <w:rsid w:val="00191BA3"/>
    <w:rsid w:val="001A2299"/>
    <w:rsid w:val="001A3A0E"/>
    <w:rsid w:val="001F630E"/>
    <w:rsid w:val="0022744B"/>
    <w:rsid w:val="00234372"/>
    <w:rsid w:val="00234B37"/>
    <w:rsid w:val="00246941"/>
    <w:rsid w:val="002553DC"/>
    <w:rsid w:val="002764C7"/>
    <w:rsid w:val="00283AA2"/>
    <w:rsid w:val="002A102C"/>
    <w:rsid w:val="002D075E"/>
    <w:rsid w:val="00303A08"/>
    <w:rsid w:val="003226C4"/>
    <w:rsid w:val="0039631D"/>
    <w:rsid w:val="003B3C33"/>
    <w:rsid w:val="003E3DEF"/>
    <w:rsid w:val="003E7C70"/>
    <w:rsid w:val="004220B9"/>
    <w:rsid w:val="0049337C"/>
    <w:rsid w:val="004C4C4D"/>
    <w:rsid w:val="004C6FF3"/>
    <w:rsid w:val="004E69F5"/>
    <w:rsid w:val="004E7AAC"/>
    <w:rsid w:val="00531A31"/>
    <w:rsid w:val="00533C6C"/>
    <w:rsid w:val="005359D3"/>
    <w:rsid w:val="00546768"/>
    <w:rsid w:val="00554458"/>
    <w:rsid w:val="00593943"/>
    <w:rsid w:val="005A08A8"/>
    <w:rsid w:val="005B1250"/>
    <w:rsid w:val="005C33CE"/>
    <w:rsid w:val="006225D7"/>
    <w:rsid w:val="00633862"/>
    <w:rsid w:val="006379B7"/>
    <w:rsid w:val="006413B6"/>
    <w:rsid w:val="006774B2"/>
    <w:rsid w:val="006910A7"/>
    <w:rsid w:val="00691310"/>
    <w:rsid w:val="006A7181"/>
    <w:rsid w:val="006C5BED"/>
    <w:rsid w:val="006D3947"/>
    <w:rsid w:val="00702D4A"/>
    <w:rsid w:val="007115C8"/>
    <w:rsid w:val="00713ADC"/>
    <w:rsid w:val="00725B9A"/>
    <w:rsid w:val="00754721"/>
    <w:rsid w:val="007713F8"/>
    <w:rsid w:val="007A7491"/>
    <w:rsid w:val="007A7874"/>
    <w:rsid w:val="007E23B1"/>
    <w:rsid w:val="00800784"/>
    <w:rsid w:val="00817432"/>
    <w:rsid w:val="008614D8"/>
    <w:rsid w:val="00875327"/>
    <w:rsid w:val="00886879"/>
    <w:rsid w:val="008875A1"/>
    <w:rsid w:val="00890FC2"/>
    <w:rsid w:val="008E3F8A"/>
    <w:rsid w:val="00923468"/>
    <w:rsid w:val="00952782"/>
    <w:rsid w:val="0095580D"/>
    <w:rsid w:val="0097614B"/>
    <w:rsid w:val="00990F1C"/>
    <w:rsid w:val="00992D45"/>
    <w:rsid w:val="009A10CC"/>
    <w:rsid w:val="009A1625"/>
    <w:rsid w:val="009C0DEF"/>
    <w:rsid w:val="009E5FF8"/>
    <w:rsid w:val="009F06F4"/>
    <w:rsid w:val="00A05135"/>
    <w:rsid w:val="00A07414"/>
    <w:rsid w:val="00A2396A"/>
    <w:rsid w:val="00A43D21"/>
    <w:rsid w:val="00A55238"/>
    <w:rsid w:val="00AA19F1"/>
    <w:rsid w:val="00AA5126"/>
    <w:rsid w:val="00AC4471"/>
    <w:rsid w:val="00AD16CD"/>
    <w:rsid w:val="00AD29DE"/>
    <w:rsid w:val="00AF42EB"/>
    <w:rsid w:val="00B130FE"/>
    <w:rsid w:val="00B34A48"/>
    <w:rsid w:val="00B34F85"/>
    <w:rsid w:val="00B407C3"/>
    <w:rsid w:val="00B666A1"/>
    <w:rsid w:val="00B91294"/>
    <w:rsid w:val="00BA1454"/>
    <w:rsid w:val="00BF1F34"/>
    <w:rsid w:val="00C16942"/>
    <w:rsid w:val="00C42609"/>
    <w:rsid w:val="00C4673D"/>
    <w:rsid w:val="00C76454"/>
    <w:rsid w:val="00C81F75"/>
    <w:rsid w:val="00CB1C9D"/>
    <w:rsid w:val="00CC7606"/>
    <w:rsid w:val="00CD2F35"/>
    <w:rsid w:val="00CE16E7"/>
    <w:rsid w:val="00CE61DB"/>
    <w:rsid w:val="00D26F3D"/>
    <w:rsid w:val="00D278CF"/>
    <w:rsid w:val="00D77626"/>
    <w:rsid w:val="00D81EE2"/>
    <w:rsid w:val="00DA4CE0"/>
    <w:rsid w:val="00DA67B8"/>
    <w:rsid w:val="00DB1085"/>
    <w:rsid w:val="00DD223C"/>
    <w:rsid w:val="00E138EB"/>
    <w:rsid w:val="00E213C7"/>
    <w:rsid w:val="00E41A31"/>
    <w:rsid w:val="00E6582B"/>
    <w:rsid w:val="00E7188B"/>
    <w:rsid w:val="00EA25B8"/>
    <w:rsid w:val="00EA5F4F"/>
    <w:rsid w:val="00F006BD"/>
    <w:rsid w:val="00F014EE"/>
    <w:rsid w:val="00F17550"/>
    <w:rsid w:val="00F27120"/>
    <w:rsid w:val="00F341E0"/>
    <w:rsid w:val="00F36401"/>
    <w:rsid w:val="00F41E0B"/>
    <w:rsid w:val="00F42445"/>
    <w:rsid w:val="00F44FCC"/>
    <w:rsid w:val="00F74974"/>
    <w:rsid w:val="00F76701"/>
    <w:rsid w:val="00F82795"/>
    <w:rsid w:val="00F829DE"/>
    <w:rsid w:val="00F84215"/>
    <w:rsid w:val="00F91CBB"/>
    <w:rsid w:val="00FC2EB7"/>
    <w:rsid w:val="010D6029"/>
    <w:rsid w:val="09342E57"/>
    <w:rsid w:val="09507CDE"/>
    <w:rsid w:val="096776E9"/>
    <w:rsid w:val="09871FA3"/>
    <w:rsid w:val="09DA1C2B"/>
    <w:rsid w:val="0AC97464"/>
    <w:rsid w:val="0E9A5E97"/>
    <w:rsid w:val="0FDC6611"/>
    <w:rsid w:val="11316A55"/>
    <w:rsid w:val="158F3058"/>
    <w:rsid w:val="15E05662"/>
    <w:rsid w:val="15F72E61"/>
    <w:rsid w:val="164C2CF7"/>
    <w:rsid w:val="17302D4B"/>
    <w:rsid w:val="19C12A23"/>
    <w:rsid w:val="1B4E6559"/>
    <w:rsid w:val="1C3739D3"/>
    <w:rsid w:val="1DC615E1"/>
    <w:rsid w:val="1EB60E4D"/>
    <w:rsid w:val="213827F6"/>
    <w:rsid w:val="24FD2B3F"/>
    <w:rsid w:val="27845646"/>
    <w:rsid w:val="2AE73611"/>
    <w:rsid w:val="2F8B61E7"/>
    <w:rsid w:val="314C4005"/>
    <w:rsid w:val="31682C84"/>
    <w:rsid w:val="32982C9B"/>
    <w:rsid w:val="32B55C5F"/>
    <w:rsid w:val="36581519"/>
    <w:rsid w:val="366251DC"/>
    <w:rsid w:val="3B187A3E"/>
    <w:rsid w:val="3BEE57DA"/>
    <w:rsid w:val="3C7206F1"/>
    <w:rsid w:val="3CA00439"/>
    <w:rsid w:val="3CBF2E2D"/>
    <w:rsid w:val="3D35084E"/>
    <w:rsid w:val="3DC049AF"/>
    <w:rsid w:val="3ED15516"/>
    <w:rsid w:val="430D368B"/>
    <w:rsid w:val="44A476C5"/>
    <w:rsid w:val="44FD0016"/>
    <w:rsid w:val="4E89723A"/>
    <w:rsid w:val="55664BF9"/>
    <w:rsid w:val="56EB110A"/>
    <w:rsid w:val="57FD64D7"/>
    <w:rsid w:val="59EE4B75"/>
    <w:rsid w:val="5C455BF0"/>
    <w:rsid w:val="60B20938"/>
    <w:rsid w:val="62B44AC8"/>
    <w:rsid w:val="653B271A"/>
    <w:rsid w:val="6B5D6B72"/>
    <w:rsid w:val="6DFA4688"/>
    <w:rsid w:val="771B2B98"/>
    <w:rsid w:val="798766BB"/>
    <w:rsid w:val="7B6D08F5"/>
    <w:rsid w:val="7B7F7392"/>
    <w:rsid w:val="7FC51D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99"/>
    <w:pPr>
      <w:spacing w:before="100" w:beforeAutospacing="1" w:after="100" w:afterAutospacing="1"/>
      <w:jc w:val="left"/>
    </w:pPr>
    <w:rPr>
      <w:rFonts w:cs="Times New Roman"/>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3"/>
    <w:qFormat/>
    <w:uiPriority w:val="9"/>
    <w:rPr>
      <w:rFonts w:asciiTheme="majorHAnsi" w:hAnsiTheme="majorHAnsi" w:eastAsiaTheme="majorEastAsia" w:cstheme="majorBidi"/>
      <w:b/>
      <w:bCs/>
      <w:sz w:val="32"/>
      <w:szCs w:val="32"/>
    </w:rPr>
  </w:style>
  <w:style w:type="character" w:customStyle="1" w:styleId="23">
    <w:name w:val="副标题 字符"/>
    <w:basedOn w:val="15"/>
    <w:link w:val="10"/>
    <w:qFormat/>
    <w:uiPriority w:val="11"/>
    <w:rPr>
      <w:b/>
      <w:bCs/>
      <w:kern w:val="28"/>
      <w:sz w:val="32"/>
      <w:szCs w:val="32"/>
    </w:rPr>
  </w:style>
  <w:style w:type="character" w:customStyle="1" w:styleId="24">
    <w:name w:val="标题 3 字符"/>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5"/>
    <w:qFormat/>
    <w:uiPriority w:val="9"/>
    <w:rPr>
      <w:rFonts w:asciiTheme="majorHAnsi" w:hAnsiTheme="majorHAnsi" w:eastAsiaTheme="majorEastAsia" w:cstheme="majorBidi"/>
      <w:b/>
      <w:bCs/>
      <w:sz w:val="28"/>
      <w:szCs w:val="28"/>
    </w:rPr>
  </w:style>
  <w:style w:type="paragraph" w:customStyle="1" w:styleId="29">
    <w:name w:val="正文A"/>
    <w:basedOn w:val="1"/>
    <w:qFormat/>
    <w:uiPriority w:val="4"/>
    <w:pPr>
      <w:widowControl/>
      <w:spacing w:line="580" w:lineRule="exact"/>
      <w:ind w:firstLine="640"/>
      <w:jc w:val="left"/>
    </w:pPr>
    <w:rPr>
      <w:rFonts w:ascii="仿宋_GB2312" w:hAnsi="仿宋_GB2312" w:eastAsia="仿宋_GB2312" w:cs="宋体"/>
      <w:color w:val="000000"/>
      <w:kern w:val="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5D0C3-B9C5-447F-BA9C-1422973303B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19</Pages>
  <Words>7466</Words>
  <Characters>8282</Characters>
  <Lines>62</Lines>
  <Paragraphs>17</Paragraphs>
  <TotalTime>5</TotalTime>
  <ScaleCrop>false</ScaleCrop>
  <LinksUpToDate>false</LinksUpToDate>
  <CharactersWithSpaces>8309</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A.X</cp:lastModifiedBy>
  <dcterms:modified xsi:type="dcterms:W3CDTF">2022-05-25T05:42:50Z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1E00B23A39ED470D8EAF0AB35FEA7E67</vt:lpwstr>
  </property>
</Properties>
</file>